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00" w:type="dxa"/>
        <w:tblCellSpacing w:w="60" w:type="dxa"/>
        <w:tblInd w:w="120" w:type="dxa"/>
        <w:tblBorders>
          <w:top w:val="nil"/>
          <w:left w:val="nil"/>
          <w:bottom w:val="nil"/>
          <w:right w:val="nil"/>
          <w:insideH w:val="nil"/>
          <w:insideV w:val="nil"/>
        </w:tblBorders>
        <w:shd w:val="clear" w:color="auto" w:fill="E7F0F9"/>
        <w:tblCellMar>
          <w:left w:w="10" w:type="dxa"/>
          <w:right w:w="10" w:type="dxa"/>
        </w:tblCellMar>
        <w:tblLook w:val="04A0"/>
      </w:tblPr>
      <w:tblGrid>
        <w:gridCol w:w="2254"/>
        <w:gridCol w:w="6746"/>
      </w:tblGrid>
      <w:tr w:rsidR="00EC220F">
        <w:tblPrEx>
          <w:tblCellMar>
            <w:top w:w="0" w:type="dxa"/>
            <w:bottom w:w="0" w:type="dxa"/>
          </w:tblCellMar>
        </w:tblPrEx>
        <w:trPr>
          <w:tblCellSpacing w:w="60" w:type="dxa"/>
        </w:trPr>
        <w:tc>
          <w:tcPr>
            <w:tcW w:w="1200" w:type="pct"/>
            <w:shd w:val="clear" w:color="auto" w:fill="E7F0F9"/>
          </w:tcPr>
          <w:p w:rsidR="00EC220F" w:rsidRDefault="00D04D62">
            <w:pPr>
              <w:spacing w:after="0" w:line="240" w:lineRule="auto"/>
            </w:pPr>
            <w:r>
              <w:rPr>
                <w:b/>
              </w:rPr>
              <w:t>RKP broj</w:t>
            </w:r>
          </w:p>
        </w:tc>
        <w:tc>
          <w:tcPr>
            <w:tcW w:w="0" w:type="auto"/>
            <w:shd w:val="clear" w:color="auto" w:fill="E7F0F9"/>
          </w:tcPr>
          <w:p w:rsidR="00EC220F" w:rsidRDefault="00D04D62">
            <w:pPr>
              <w:spacing w:after="0" w:line="240" w:lineRule="auto"/>
            </w:pPr>
            <w:r>
              <w:t>31712</w:t>
            </w:r>
          </w:p>
        </w:tc>
      </w:tr>
      <w:tr w:rsidR="00EC220F">
        <w:tblPrEx>
          <w:tblCellMar>
            <w:top w:w="0" w:type="dxa"/>
            <w:bottom w:w="0" w:type="dxa"/>
          </w:tblCellMar>
        </w:tblPrEx>
        <w:trPr>
          <w:tblCellSpacing w:w="60" w:type="dxa"/>
        </w:trPr>
        <w:tc>
          <w:tcPr>
            <w:tcW w:w="1200" w:type="pct"/>
            <w:shd w:val="clear" w:color="auto" w:fill="E7F0F9"/>
          </w:tcPr>
          <w:p w:rsidR="00EC220F" w:rsidRDefault="00D04D62">
            <w:pPr>
              <w:spacing w:after="0" w:line="240" w:lineRule="auto"/>
            </w:pPr>
            <w:r>
              <w:rPr>
                <w:b/>
              </w:rPr>
              <w:t>Naziv obveznika</w:t>
            </w:r>
          </w:p>
        </w:tc>
        <w:tc>
          <w:tcPr>
            <w:tcW w:w="0" w:type="auto"/>
            <w:shd w:val="clear" w:color="auto" w:fill="E7F0F9"/>
          </w:tcPr>
          <w:p w:rsidR="00EC220F" w:rsidRDefault="00D04D62">
            <w:pPr>
              <w:spacing w:after="0" w:line="240" w:lineRule="auto"/>
            </w:pPr>
            <w:r>
              <w:t>DOM ZDRAVLJA DUBROVNIK</w:t>
            </w:r>
          </w:p>
        </w:tc>
      </w:tr>
      <w:tr w:rsidR="00EC220F">
        <w:tblPrEx>
          <w:tblCellMar>
            <w:top w:w="0" w:type="dxa"/>
            <w:bottom w:w="0" w:type="dxa"/>
          </w:tblCellMar>
        </w:tblPrEx>
        <w:trPr>
          <w:tblCellSpacing w:w="60" w:type="dxa"/>
        </w:trPr>
        <w:tc>
          <w:tcPr>
            <w:tcW w:w="1200" w:type="pct"/>
            <w:shd w:val="clear" w:color="auto" w:fill="E7F0F9"/>
          </w:tcPr>
          <w:p w:rsidR="00EC220F" w:rsidRDefault="00D04D62">
            <w:pPr>
              <w:spacing w:after="0" w:line="240" w:lineRule="auto"/>
            </w:pPr>
            <w:r>
              <w:rPr>
                <w:b/>
              </w:rPr>
              <w:t>Razina</w:t>
            </w:r>
          </w:p>
        </w:tc>
        <w:tc>
          <w:tcPr>
            <w:tcW w:w="0" w:type="auto"/>
            <w:shd w:val="clear" w:color="auto" w:fill="E7F0F9"/>
          </w:tcPr>
          <w:p w:rsidR="00EC220F" w:rsidRDefault="00D04D62">
            <w:pPr>
              <w:spacing w:after="0" w:line="240" w:lineRule="auto"/>
            </w:pPr>
            <w:r>
              <w:t>31</w:t>
            </w:r>
          </w:p>
        </w:tc>
      </w:tr>
    </w:tbl>
    <w:p w:rsidR="00EC220F" w:rsidRDefault="00D04D62">
      <w:r>
        <w:br/>
      </w:r>
    </w:p>
    <w:p w:rsidR="00EC220F" w:rsidRDefault="00D04D62">
      <w:pPr>
        <w:spacing w:line="240" w:lineRule="auto"/>
        <w:jc w:val="center"/>
      </w:pPr>
      <w:r>
        <w:rPr>
          <w:b/>
          <w:sz w:val="28"/>
        </w:rPr>
        <w:t>BILJEŠKE UZ FINANCIJSKE IZVJEŠTAJE</w:t>
      </w:r>
    </w:p>
    <w:p w:rsidR="00EC220F" w:rsidRDefault="00D04D62">
      <w:pPr>
        <w:spacing w:line="240" w:lineRule="auto"/>
        <w:jc w:val="center"/>
      </w:pPr>
      <w:r>
        <w:rPr>
          <w:b/>
          <w:sz w:val="28"/>
        </w:rPr>
        <w:t>ZA RAZDOBLJE</w:t>
      </w:r>
    </w:p>
    <w:p w:rsidR="00EC220F" w:rsidRDefault="00D04D62">
      <w:pPr>
        <w:spacing w:line="240" w:lineRule="auto"/>
        <w:jc w:val="center"/>
      </w:pPr>
      <w:r>
        <w:rPr>
          <w:b/>
          <w:sz w:val="28"/>
        </w:rPr>
        <w:t>I - XII 2025.</w:t>
      </w:r>
    </w:p>
    <w:p w:rsidR="00EC220F" w:rsidRDefault="00EC220F"/>
    <w:p w:rsidR="00EC220F" w:rsidRDefault="00D04D62">
      <w:pPr>
        <w:keepNext/>
        <w:spacing w:line="240" w:lineRule="auto"/>
        <w:jc w:val="center"/>
      </w:pPr>
      <w:r>
        <w:rPr>
          <w:b/>
          <w:sz w:val="28"/>
        </w:rPr>
        <w:t>Izvještaj o prihodima i rashodima, primicima i izdacima</w:t>
      </w:r>
    </w:p>
    <w:p w:rsidR="00EC220F" w:rsidRDefault="00D04D62">
      <w:pPr>
        <w:keepNext/>
        <w:spacing w:line="240" w:lineRule="auto"/>
        <w:jc w:val="center"/>
      </w:pPr>
      <w:r>
        <w:rPr>
          <w:sz w:val="28"/>
        </w:rPr>
        <w:t>Bilješka 1.</w:t>
      </w:r>
    </w:p>
    <w:tbl>
      <w:tblPr>
        <w:tblW w:w="0" w:type="auto"/>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w:t>
            </w:r>
          </w:p>
        </w:tc>
        <w:tc>
          <w:tcPr>
            <w:tcW w:w="3180" w:type="dxa"/>
            <w:tcMar>
              <w:top w:w="0" w:type="dxa"/>
              <w:bottom w:w="0" w:type="dxa"/>
            </w:tcMar>
            <w:vAlign w:val="center"/>
          </w:tcPr>
          <w:p w:rsidR="00EC220F" w:rsidRDefault="00D04D62">
            <w:pPr>
              <w:keepNext/>
              <w:keepLines/>
              <w:spacing w:after="0" w:line="240" w:lineRule="auto"/>
            </w:pPr>
            <w:r>
              <w:rPr>
                <w:sz w:val="18"/>
              </w:rPr>
              <w:t>PRIHODI POSLOVANJA (šifre 61+62+63+64+65+66+67+68)</w:t>
            </w:r>
          </w:p>
        </w:tc>
        <w:tc>
          <w:tcPr>
            <w:tcW w:w="700" w:type="dxa"/>
            <w:tcMar>
              <w:top w:w="0" w:type="dxa"/>
              <w:bottom w:w="0" w:type="dxa"/>
            </w:tcMar>
            <w:vAlign w:val="center"/>
          </w:tcPr>
          <w:p w:rsidR="00EC220F" w:rsidRDefault="00D04D62">
            <w:pPr>
              <w:keepNext/>
              <w:keepLines/>
              <w:spacing w:after="0" w:line="240" w:lineRule="auto"/>
            </w:pPr>
            <w:r>
              <w:rPr>
                <w:sz w:val="18"/>
              </w:rPr>
              <w:t>6</w:t>
            </w:r>
          </w:p>
        </w:tc>
        <w:tc>
          <w:tcPr>
            <w:tcW w:w="1860" w:type="dxa"/>
            <w:tcMar>
              <w:top w:w="0" w:type="dxa"/>
              <w:bottom w:w="0" w:type="dxa"/>
            </w:tcMar>
            <w:vAlign w:val="center"/>
          </w:tcPr>
          <w:p w:rsidR="00EC220F" w:rsidRDefault="00D04D62">
            <w:pPr>
              <w:keepNext/>
              <w:keepLines/>
              <w:spacing w:after="0" w:line="240" w:lineRule="auto"/>
              <w:jc w:val="right"/>
            </w:pPr>
            <w:r>
              <w:rPr>
                <w:sz w:val="18"/>
              </w:rPr>
              <w:t>7.099.411,29</w:t>
            </w:r>
          </w:p>
        </w:tc>
        <w:tc>
          <w:tcPr>
            <w:tcW w:w="1860" w:type="dxa"/>
            <w:tcMar>
              <w:top w:w="0" w:type="dxa"/>
              <w:bottom w:w="0" w:type="dxa"/>
            </w:tcMar>
            <w:vAlign w:val="center"/>
          </w:tcPr>
          <w:p w:rsidR="00EC220F" w:rsidRDefault="00D04D62">
            <w:pPr>
              <w:keepNext/>
              <w:keepLines/>
              <w:spacing w:after="0" w:line="240" w:lineRule="auto"/>
              <w:jc w:val="right"/>
            </w:pPr>
            <w:r>
              <w:rPr>
                <w:sz w:val="18"/>
              </w:rPr>
              <w:t>7.279.025,76</w:t>
            </w:r>
          </w:p>
        </w:tc>
        <w:tc>
          <w:tcPr>
            <w:tcW w:w="700" w:type="dxa"/>
            <w:tcMar>
              <w:top w:w="0" w:type="dxa"/>
              <w:bottom w:w="0" w:type="dxa"/>
            </w:tcMar>
            <w:vAlign w:val="center"/>
          </w:tcPr>
          <w:p w:rsidR="00EC220F" w:rsidRDefault="00D04D62">
            <w:pPr>
              <w:keepNext/>
              <w:keepLines/>
              <w:spacing w:after="0" w:line="240" w:lineRule="auto"/>
              <w:jc w:val="right"/>
            </w:pPr>
            <w:r>
              <w:rPr>
                <w:sz w:val="18"/>
              </w:rPr>
              <w:t>102,5</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w:t>
            </w:r>
          </w:p>
        </w:tc>
        <w:tc>
          <w:tcPr>
            <w:tcW w:w="3180" w:type="dxa"/>
            <w:tcMar>
              <w:top w:w="0" w:type="dxa"/>
              <w:bottom w:w="0" w:type="dxa"/>
            </w:tcMar>
            <w:vAlign w:val="center"/>
          </w:tcPr>
          <w:p w:rsidR="00EC220F" w:rsidRDefault="00D04D62">
            <w:pPr>
              <w:keepNext/>
              <w:keepLines/>
              <w:spacing w:after="0" w:line="240" w:lineRule="auto"/>
            </w:pPr>
            <w:r>
              <w:rPr>
                <w:sz w:val="18"/>
              </w:rPr>
              <w:t>RASHODI POSLOVANJA (šifre 31+32+34+35+36+37+38)</w:t>
            </w:r>
          </w:p>
        </w:tc>
        <w:tc>
          <w:tcPr>
            <w:tcW w:w="700" w:type="dxa"/>
            <w:tcMar>
              <w:top w:w="0" w:type="dxa"/>
              <w:bottom w:w="0" w:type="dxa"/>
            </w:tcMar>
            <w:vAlign w:val="center"/>
          </w:tcPr>
          <w:p w:rsidR="00EC220F" w:rsidRDefault="00D04D62">
            <w:pPr>
              <w:keepNext/>
              <w:keepLines/>
              <w:spacing w:after="0" w:line="240" w:lineRule="auto"/>
            </w:pPr>
            <w:r>
              <w:rPr>
                <w:sz w:val="18"/>
              </w:rPr>
              <w:t>3</w:t>
            </w:r>
          </w:p>
        </w:tc>
        <w:tc>
          <w:tcPr>
            <w:tcW w:w="1860" w:type="dxa"/>
            <w:tcMar>
              <w:top w:w="0" w:type="dxa"/>
              <w:bottom w:w="0" w:type="dxa"/>
            </w:tcMar>
            <w:vAlign w:val="center"/>
          </w:tcPr>
          <w:p w:rsidR="00EC220F" w:rsidRDefault="00D04D62">
            <w:pPr>
              <w:keepNext/>
              <w:keepLines/>
              <w:spacing w:after="0" w:line="240" w:lineRule="auto"/>
              <w:jc w:val="right"/>
            </w:pPr>
            <w:r>
              <w:rPr>
                <w:sz w:val="18"/>
              </w:rPr>
              <w:t>6.937.719,10</w:t>
            </w:r>
          </w:p>
        </w:tc>
        <w:tc>
          <w:tcPr>
            <w:tcW w:w="1860" w:type="dxa"/>
            <w:tcMar>
              <w:top w:w="0" w:type="dxa"/>
              <w:bottom w:w="0" w:type="dxa"/>
            </w:tcMar>
            <w:vAlign w:val="center"/>
          </w:tcPr>
          <w:p w:rsidR="00EC220F" w:rsidRDefault="00D04D62">
            <w:pPr>
              <w:keepNext/>
              <w:keepLines/>
              <w:spacing w:after="0" w:line="240" w:lineRule="auto"/>
              <w:jc w:val="right"/>
            </w:pPr>
            <w:r>
              <w:rPr>
                <w:sz w:val="18"/>
              </w:rPr>
              <w:t>6.882.122,77</w:t>
            </w:r>
          </w:p>
        </w:tc>
        <w:tc>
          <w:tcPr>
            <w:tcW w:w="700" w:type="dxa"/>
            <w:tcMar>
              <w:top w:w="0" w:type="dxa"/>
              <w:bottom w:w="0" w:type="dxa"/>
            </w:tcMar>
            <w:vAlign w:val="center"/>
          </w:tcPr>
          <w:p w:rsidR="00EC220F" w:rsidRDefault="00D04D62">
            <w:pPr>
              <w:keepNext/>
              <w:keepLines/>
              <w:spacing w:after="0" w:line="240" w:lineRule="auto"/>
              <w:jc w:val="right"/>
            </w:pPr>
            <w:r>
              <w:rPr>
                <w:sz w:val="18"/>
              </w:rPr>
              <w:t>99,2</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b/>
                <w:sz w:val="18"/>
              </w:rPr>
              <w:t>VIŠAK PRIHODA POSLOVANJA (šifre 6-Z005)</w:t>
            </w:r>
          </w:p>
        </w:tc>
        <w:tc>
          <w:tcPr>
            <w:tcW w:w="700" w:type="dxa"/>
            <w:tcMar>
              <w:top w:w="0" w:type="dxa"/>
              <w:bottom w:w="0" w:type="dxa"/>
            </w:tcMar>
            <w:vAlign w:val="center"/>
          </w:tcPr>
          <w:p w:rsidR="00EC220F" w:rsidRDefault="00D04D62">
            <w:pPr>
              <w:keepNext/>
              <w:keepLines/>
              <w:spacing w:after="0" w:line="240" w:lineRule="auto"/>
            </w:pPr>
            <w:r>
              <w:rPr>
                <w:b/>
                <w:sz w:val="18"/>
              </w:rPr>
              <w:t>X001</w:t>
            </w:r>
          </w:p>
        </w:tc>
        <w:tc>
          <w:tcPr>
            <w:tcW w:w="1860" w:type="dxa"/>
            <w:tcMar>
              <w:top w:w="0" w:type="dxa"/>
              <w:bottom w:w="0" w:type="dxa"/>
            </w:tcMar>
            <w:vAlign w:val="center"/>
          </w:tcPr>
          <w:p w:rsidR="00EC220F" w:rsidRDefault="00D04D62">
            <w:pPr>
              <w:keepNext/>
              <w:keepLines/>
              <w:spacing w:after="0" w:line="240" w:lineRule="auto"/>
              <w:jc w:val="right"/>
            </w:pPr>
            <w:r>
              <w:rPr>
                <w:b/>
                <w:sz w:val="18"/>
              </w:rPr>
              <w:t>161.692,19</w:t>
            </w:r>
          </w:p>
        </w:tc>
        <w:tc>
          <w:tcPr>
            <w:tcW w:w="1860" w:type="dxa"/>
            <w:tcMar>
              <w:top w:w="0" w:type="dxa"/>
              <w:bottom w:w="0" w:type="dxa"/>
            </w:tcMar>
            <w:vAlign w:val="center"/>
          </w:tcPr>
          <w:p w:rsidR="00EC220F" w:rsidRDefault="00D04D62">
            <w:pPr>
              <w:keepNext/>
              <w:keepLines/>
              <w:spacing w:after="0" w:line="240" w:lineRule="auto"/>
              <w:jc w:val="right"/>
            </w:pPr>
            <w:r>
              <w:rPr>
                <w:b/>
                <w:sz w:val="18"/>
              </w:rPr>
              <w:t>396.902,99</w:t>
            </w:r>
          </w:p>
        </w:tc>
        <w:tc>
          <w:tcPr>
            <w:tcW w:w="700" w:type="dxa"/>
            <w:tcMar>
              <w:top w:w="0" w:type="dxa"/>
              <w:bottom w:w="0" w:type="dxa"/>
            </w:tcMar>
            <w:vAlign w:val="center"/>
          </w:tcPr>
          <w:p w:rsidR="00EC220F" w:rsidRDefault="00D04D62">
            <w:pPr>
              <w:keepNext/>
              <w:keepLines/>
              <w:spacing w:after="0" w:line="240" w:lineRule="auto"/>
              <w:jc w:val="right"/>
            </w:pPr>
            <w:r>
              <w:rPr>
                <w:b/>
                <w:sz w:val="18"/>
              </w:rPr>
              <w:t>245,5</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7</w:t>
            </w:r>
          </w:p>
        </w:tc>
        <w:tc>
          <w:tcPr>
            <w:tcW w:w="3180" w:type="dxa"/>
            <w:tcMar>
              <w:top w:w="0" w:type="dxa"/>
              <w:bottom w:w="0" w:type="dxa"/>
            </w:tcMar>
            <w:vAlign w:val="center"/>
          </w:tcPr>
          <w:p w:rsidR="00EC220F" w:rsidRDefault="00D04D62">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EC220F" w:rsidRDefault="00D04D62">
            <w:pPr>
              <w:keepNext/>
              <w:keepLines/>
              <w:spacing w:after="0" w:line="240" w:lineRule="auto"/>
            </w:pPr>
            <w:r>
              <w:rPr>
                <w:sz w:val="18"/>
              </w:rPr>
              <w:t>7</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877,40</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w:t>
            </w:r>
          </w:p>
        </w:tc>
        <w:tc>
          <w:tcPr>
            <w:tcW w:w="3180" w:type="dxa"/>
            <w:tcMar>
              <w:top w:w="0" w:type="dxa"/>
              <w:bottom w:w="0" w:type="dxa"/>
            </w:tcMar>
            <w:vAlign w:val="center"/>
          </w:tcPr>
          <w:p w:rsidR="00EC220F" w:rsidRDefault="00D04D62">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EC220F" w:rsidRDefault="00D04D62">
            <w:pPr>
              <w:keepNext/>
              <w:keepLines/>
              <w:spacing w:after="0" w:line="240" w:lineRule="auto"/>
            </w:pPr>
            <w:r>
              <w:rPr>
                <w:sz w:val="18"/>
              </w:rPr>
              <w:t>4</w:t>
            </w:r>
          </w:p>
        </w:tc>
        <w:tc>
          <w:tcPr>
            <w:tcW w:w="1860" w:type="dxa"/>
            <w:tcMar>
              <w:top w:w="0" w:type="dxa"/>
              <w:bottom w:w="0" w:type="dxa"/>
            </w:tcMar>
            <w:vAlign w:val="center"/>
          </w:tcPr>
          <w:p w:rsidR="00EC220F" w:rsidRDefault="00D04D62">
            <w:pPr>
              <w:keepNext/>
              <w:keepLines/>
              <w:spacing w:after="0" w:line="240" w:lineRule="auto"/>
              <w:jc w:val="right"/>
            </w:pPr>
            <w:r>
              <w:rPr>
                <w:sz w:val="18"/>
              </w:rPr>
              <w:t>170.297,27</w:t>
            </w:r>
          </w:p>
        </w:tc>
        <w:tc>
          <w:tcPr>
            <w:tcW w:w="1860" w:type="dxa"/>
            <w:tcMar>
              <w:top w:w="0" w:type="dxa"/>
              <w:bottom w:w="0" w:type="dxa"/>
            </w:tcMar>
            <w:vAlign w:val="center"/>
          </w:tcPr>
          <w:p w:rsidR="00EC220F" w:rsidRDefault="00D04D62">
            <w:pPr>
              <w:keepNext/>
              <w:keepLines/>
              <w:spacing w:after="0" w:line="240" w:lineRule="auto"/>
              <w:jc w:val="right"/>
            </w:pPr>
            <w:r>
              <w:rPr>
                <w:sz w:val="18"/>
              </w:rPr>
              <w:t>222.831,99</w:t>
            </w:r>
          </w:p>
        </w:tc>
        <w:tc>
          <w:tcPr>
            <w:tcW w:w="700" w:type="dxa"/>
            <w:tcMar>
              <w:top w:w="0" w:type="dxa"/>
              <w:bottom w:w="0" w:type="dxa"/>
            </w:tcMar>
            <w:vAlign w:val="center"/>
          </w:tcPr>
          <w:p w:rsidR="00EC220F" w:rsidRDefault="00D04D62">
            <w:pPr>
              <w:keepNext/>
              <w:keepLines/>
              <w:spacing w:after="0" w:line="240" w:lineRule="auto"/>
              <w:jc w:val="right"/>
            </w:pPr>
            <w:r>
              <w:rPr>
                <w:sz w:val="18"/>
              </w:rPr>
              <w:t>130,8</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EC220F" w:rsidRDefault="00D04D62">
            <w:pPr>
              <w:keepNext/>
              <w:keepLines/>
              <w:spacing w:after="0" w:line="240" w:lineRule="auto"/>
            </w:pPr>
            <w:r>
              <w:rPr>
                <w:b/>
                <w:sz w:val="18"/>
              </w:rPr>
              <w:t>Y002</w:t>
            </w:r>
          </w:p>
        </w:tc>
        <w:tc>
          <w:tcPr>
            <w:tcW w:w="1860" w:type="dxa"/>
            <w:tcMar>
              <w:top w:w="0" w:type="dxa"/>
              <w:bottom w:w="0" w:type="dxa"/>
            </w:tcMar>
            <w:vAlign w:val="center"/>
          </w:tcPr>
          <w:p w:rsidR="00EC220F" w:rsidRDefault="00D04D62">
            <w:pPr>
              <w:keepNext/>
              <w:keepLines/>
              <w:spacing w:after="0" w:line="240" w:lineRule="auto"/>
              <w:jc w:val="right"/>
            </w:pPr>
            <w:r>
              <w:rPr>
                <w:b/>
                <w:sz w:val="18"/>
              </w:rPr>
              <w:t>170.297,27</w:t>
            </w:r>
          </w:p>
        </w:tc>
        <w:tc>
          <w:tcPr>
            <w:tcW w:w="1860" w:type="dxa"/>
            <w:tcMar>
              <w:top w:w="0" w:type="dxa"/>
              <w:bottom w:w="0" w:type="dxa"/>
            </w:tcMar>
            <w:vAlign w:val="center"/>
          </w:tcPr>
          <w:p w:rsidR="00EC220F" w:rsidRDefault="00D04D62">
            <w:pPr>
              <w:keepNext/>
              <w:keepLines/>
              <w:spacing w:after="0" w:line="240" w:lineRule="auto"/>
              <w:jc w:val="right"/>
            </w:pPr>
            <w:r>
              <w:rPr>
                <w:b/>
                <w:sz w:val="18"/>
              </w:rPr>
              <w:t>221.954,59</w:t>
            </w:r>
          </w:p>
        </w:tc>
        <w:tc>
          <w:tcPr>
            <w:tcW w:w="700" w:type="dxa"/>
            <w:tcMar>
              <w:top w:w="0" w:type="dxa"/>
              <w:bottom w:w="0" w:type="dxa"/>
            </w:tcMar>
            <w:vAlign w:val="center"/>
          </w:tcPr>
          <w:p w:rsidR="00EC220F" w:rsidRDefault="00D04D62">
            <w:pPr>
              <w:keepNext/>
              <w:keepLines/>
              <w:spacing w:after="0" w:line="240" w:lineRule="auto"/>
              <w:jc w:val="right"/>
            </w:pPr>
            <w:r>
              <w:rPr>
                <w:b/>
                <w:sz w:val="18"/>
              </w:rPr>
              <w:t>130,3</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8</w:t>
            </w:r>
          </w:p>
        </w:tc>
        <w:tc>
          <w:tcPr>
            <w:tcW w:w="3180" w:type="dxa"/>
            <w:tcMar>
              <w:top w:w="0" w:type="dxa"/>
              <w:bottom w:w="0" w:type="dxa"/>
            </w:tcMar>
            <w:vAlign w:val="center"/>
          </w:tcPr>
          <w:p w:rsidR="00EC220F" w:rsidRDefault="00D04D62">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EC220F" w:rsidRDefault="00D04D62">
            <w:pPr>
              <w:keepNext/>
              <w:keepLines/>
              <w:spacing w:after="0" w:line="240" w:lineRule="auto"/>
            </w:pPr>
            <w:r>
              <w:rPr>
                <w:sz w:val="18"/>
              </w:rPr>
              <w:t>8</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5</w:t>
            </w:r>
          </w:p>
        </w:tc>
        <w:tc>
          <w:tcPr>
            <w:tcW w:w="3180" w:type="dxa"/>
            <w:tcMar>
              <w:top w:w="0" w:type="dxa"/>
              <w:bottom w:w="0" w:type="dxa"/>
            </w:tcMar>
            <w:vAlign w:val="center"/>
          </w:tcPr>
          <w:p w:rsidR="00EC220F" w:rsidRDefault="00D04D62">
            <w:pPr>
              <w:keepNext/>
              <w:keepLines/>
              <w:spacing w:after="0" w:line="240" w:lineRule="auto"/>
            </w:pPr>
            <w:r>
              <w:rPr>
                <w:sz w:val="18"/>
              </w:rPr>
              <w:t xml:space="preserve">Izdaci za financijsku imovinu i otplate zajmova (šifre </w:t>
            </w:r>
            <w:r>
              <w:rPr>
                <w:sz w:val="18"/>
              </w:rPr>
              <w:t>51+52+53+54+55)</w:t>
            </w:r>
          </w:p>
        </w:tc>
        <w:tc>
          <w:tcPr>
            <w:tcW w:w="700" w:type="dxa"/>
            <w:tcMar>
              <w:top w:w="0" w:type="dxa"/>
              <w:bottom w:w="0" w:type="dxa"/>
            </w:tcMar>
            <w:vAlign w:val="center"/>
          </w:tcPr>
          <w:p w:rsidR="00EC220F" w:rsidRDefault="00D04D62">
            <w:pPr>
              <w:keepNext/>
              <w:keepLines/>
              <w:spacing w:after="0" w:line="240" w:lineRule="auto"/>
            </w:pPr>
            <w:r>
              <w:rPr>
                <w:sz w:val="18"/>
              </w:rPr>
              <w:t>5</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EC220F" w:rsidRDefault="00D04D62">
            <w:pPr>
              <w:keepNext/>
              <w:keepLines/>
              <w:spacing w:after="0" w:line="240" w:lineRule="auto"/>
            </w:pPr>
            <w:r>
              <w:rPr>
                <w:b/>
                <w:sz w:val="18"/>
              </w:rPr>
              <w:t>X003, Y003</w:t>
            </w:r>
          </w:p>
        </w:tc>
        <w:tc>
          <w:tcPr>
            <w:tcW w:w="1860" w:type="dxa"/>
            <w:tcMar>
              <w:top w:w="0" w:type="dxa"/>
              <w:bottom w:w="0" w:type="dxa"/>
            </w:tcMar>
            <w:vAlign w:val="center"/>
          </w:tcPr>
          <w:p w:rsidR="00EC220F" w:rsidRDefault="00D04D62">
            <w:pPr>
              <w:keepNext/>
              <w:keepLines/>
              <w:spacing w:after="0" w:line="240" w:lineRule="auto"/>
              <w:jc w:val="right"/>
            </w:pPr>
            <w:r>
              <w:rPr>
                <w:b/>
                <w:sz w:val="18"/>
              </w:rPr>
              <w:t>0,00</w:t>
            </w:r>
          </w:p>
        </w:tc>
        <w:tc>
          <w:tcPr>
            <w:tcW w:w="1860" w:type="dxa"/>
            <w:tcMar>
              <w:top w:w="0" w:type="dxa"/>
              <w:bottom w:w="0" w:type="dxa"/>
            </w:tcMar>
            <w:vAlign w:val="center"/>
          </w:tcPr>
          <w:p w:rsidR="00EC220F" w:rsidRDefault="00D04D62">
            <w:pPr>
              <w:keepNext/>
              <w:keepLines/>
              <w:spacing w:after="0" w:line="240" w:lineRule="auto"/>
              <w:jc w:val="right"/>
            </w:pPr>
            <w:r>
              <w:rPr>
                <w:b/>
                <w:sz w:val="18"/>
              </w:rPr>
              <w:t>0,00</w:t>
            </w:r>
          </w:p>
        </w:tc>
        <w:tc>
          <w:tcPr>
            <w:tcW w:w="700" w:type="dxa"/>
            <w:tcMar>
              <w:top w:w="0" w:type="dxa"/>
              <w:bottom w:w="0" w:type="dxa"/>
            </w:tcMar>
            <w:vAlign w:val="center"/>
          </w:tcPr>
          <w:p w:rsidR="00EC220F" w:rsidRDefault="00D04D62">
            <w:pPr>
              <w:keepNext/>
              <w:keepLines/>
              <w:spacing w:after="0" w:line="240" w:lineRule="auto"/>
              <w:jc w:val="right"/>
            </w:pPr>
            <w:r>
              <w:rPr>
                <w:b/>
                <w:sz w:val="18"/>
              </w:rPr>
              <w:t>-</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b/>
                <w:sz w:val="18"/>
              </w:rPr>
              <w:t>VIŠAK PRIHODA I PRIMITAKA (šifre X678-Y345)</w:t>
            </w:r>
          </w:p>
        </w:tc>
        <w:tc>
          <w:tcPr>
            <w:tcW w:w="700" w:type="dxa"/>
            <w:tcMar>
              <w:top w:w="0" w:type="dxa"/>
              <w:bottom w:w="0" w:type="dxa"/>
            </w:tcMar>
            <w:vAlign w:val="center"/>
          </w:tcPr>
          <w:p w:rsidR="00EC220F" w:rsidRDefault="00D04D62">
            <w:pPr>
              <w:keepNext/>
              <w:keepLines/>
              <w:spacing w:after="0" w:line="240" w:lineRule="auto"/>
            </w:pPr>
            <w:r>
              <w:rPr>
                <w:b/>
                <w:sz w:val="18"/>
              </w:rPr>
              <w:t>X005</w:t>
            </w:r>
          </w:p>
        </w:tc>
        <w:tc>
          <w:tcPr>
            <w:tcW w:w="1860" w:type="dxa"/>
            <w:tcMar>
              <w:top w:w="0" w:type="dxa"/>
              <w:bottom w:w="0" w:type="dxa"/>
            </w:tcMar>
            <w:vAlign w:val="center"/>
          </w:tcPr>
          <w:p w:rsidR="00EC220F" w:rsidRDefault="00D04D62">
            <w:pPr>
              <w:keepNext/>
              <w:keepLines/>
              <w:spacing w:after="0" w:line="240" w:lineRule="auto"/>
              <w:jc w:val="right"/>
            </w:pPr>
            <w:r>
              <w:rPr>
                <w:b/>
                <w:sz w:val="18"/>
              </w:rPr>
              <w:t>0,00</w:t>
            </w:r>
          </w:p>
        </w:tc>
        <w:tc>
          <w:tcPr>
            <w:tcW w:w="1860" w:type="dxa"/>
            <w:tcMar>
              <w:top w:w="0" w:type="dxa"/>
              <w:bottom w:w="0" w:type="dxa"/>
            </w:tcMar>
            <w:vAlign w:val="center"/>
          </w:tcPr>
          <w:p w:rsidR="00EC220F" w:rsidRDefault="00D04D62">
            <w:pPr>
              <w:keepNext/>
              <w:keepLines/>
              <w:spacing w:after="0" w:line="240" w:lineRule="auto"/>
              <w:jc w:val="right"/>
            </w:pPr>
            <w:r>
              <w:rPr>
                <w:b/>
                <w:sz w:val="18"/>
              </w:rPr>
              <w:t>174.948,40</w:t>
            </w:r>
          </w:p>
        </w:tc>
        <w:tc>
          <w:tcPr>
            <w:tcW w:w="700" w:type="dxa"/>
            <w:tcMar>
              <w:top w:w="0" w:type="dxa"/>
              <w:bottom w:w="0" w:type="dxa"/>
            </w:tcMar>
            <w:vAlign w:val="center"/>
          </w:tcPr>
          <w:p w:rsidR="00EC220F" w:rsidRDefault="00D04D62">
            <w:pPr>
              <w:keepNext/>
              <w:keepLines/>
              <w:spacing w:after="0" w:line="240" w:lineRule="auto"/>
              <w:jc w:val="right"/>
            </w:pPr>
            <w:r>
              <w:rPr>
                <w:b/>
                <w:sz w:val="18"/>
              </w:rPr>
              <w:t>-</w:t>
            </w:r>
          </w:p>
        </w:tc>
      </w:tr>
    </w:tbl>
    <w:p w:rsidR="00EC220F" w:rsidRDefault="00EC220F">
      <w:pPr>
        <w:spacing w:after="0"/>
      </w:pPr>
    </w:p>
    <w:p w:rsidR="00EC220F" w:rsidRDefault="00D04D62">
      <w:r>
        <w:t>U 2025. godini ostvareni su ukupni prihod i primici u iznosu 7.279.903,16 eura, te rashodi i izdaci u ukupnom iznosu od 7.104.954,76 eura, čime je ostvaren višak prihoda i primitaka u iznosu 174.948,40 eura (X005). Višak prihoda u 2025. godini čini višak p</w:t>
      </w:r>
      <w:r>
        <w:t xml:space="preserve">rihoda poslovanja u iznosu 396.902,99 eura, te manjak prihoda od nefinancijske imovine u iznosu 221.954,59 eura. Viškom prihoda i primitaka ostvarenim na dan 31.12.2025.g. umanjuje se preneseni </w:t>
      </w:r>
      <w:r>
        <w:lastRenderedPageBreak/>
        <w:t>manjak od 529.870,70 eura, na 354.922,30 eura za pokriće u nar</w:t>
      </w:r>
      <w:r>
        <w:t>ednim razdobljima. Preneseni manjak je rezultat konstantnog povećavanja troškova, pogotovo plaća, ali i gotovo svih ostalih troškova, dok povećanje prihoda od HZZO-a i nadležnog proračuna nije pratilo povećanje troškova. U 2025.g. Dom zdravlja Dubrovnik os</w:t>
      </w:r>
      <w:r>
        <w:t>tvario je prihode od pomoći iz proračuna koji nije nadležan, prihode od imovine, prihode od upravnih i administrativnih pristojbi, pristojbi po posebnim propisima i naknada, prihode od pruženih usluga, donacija, prihode iz nadležnog proračuna, prihode od H</w:t>
      </w:r>
      <w:r>
        <w:t>ZZO-a, te prihode od prodaje nefinancijske imovine.</w:t>
      </w:r>
      <w:r>
        <w:br/>
        <w:t>U razdoblju 01.01.-31.12.2025. godine ostvareni su prihodi za 2,5% veći od prihoda u istom izvještajnom razdoblju protekle godine. Prihodi su nešto veći zbog više ostvarenih prihoda od pruženih usluga, ve</w:t>
      </w:r>
      <w:r>
        <w:t>ćih prihoda od HZZO-a temeljem ugovornih obveza zbog povećanja limita i iznosa glavarine, te zbog većih prihoda od nadležnog proračuna. Rashodi poslovanja ostvareni su u iznosu 6.882.122,77 eura, što je 0,8% manje od rashoda ostvarenih u 2024.g. Razlog man</w:t>
      </w:r>
      <w:r>
        <w:t>jih rashoda poslovanja je odvajanje službe sanitetskog prijevoza od Doma zdravlja, te pripajanje Zavodu za hitnu medicinu od 01.09.2024.g. Bez službe sanitetskog prijevoza ostvareni su viši prihodi, te istodobno manji rashodi. Također u periodu 01.01.-31.1</w:t>
      </w:r>
      <w:r>
        <w:t>2.2025.g. ostvareni su prihodi od prodaje nefinancijske imovine zbog prodaje vozila u obliku starog željeza, te prodaje stare medicinske opreme, ova vrsta prihoda nije ostvarena u 2024.g. Rashod za nabavu nefinancijske imovine u 2025.g. ostvareni su u izno</w:t>
      </w:r>
      <w:r>
        <w:t>su 222.831,99 eura , što je 30,8% više od rashoda ostvarenih u 2024.g., zbog veće potrebe za nabavom računala, klima uređaja, te dodatnih ulaganja na građevinskim objektima.</w:t>
      </w:r>
    </w:p>
    <w:p w:rsidR="00EC220F" w:rsidRDefault="00D04D62">
      <w:r>
        <w:br/>
      </w:r>
    </w:p>
    <w:p w:rsidR="00EC220F" w:rsidRDefault="00D04D62">
      <w:pPr>
        <w:keepNext/>
        <w:spacing w:line="240" w:lineRule="auto"/>
        <w:jc w:val="center"/>
      </w:pPr>
      <w:r>
        <w:rPr>
          <w:sz w:val="28"/>
        </w:rPr>
        <w:t>Bilješka 2.</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w:t>
            </w:r>
            <w:r>
              <w:rPr>
                <w:b/>
                <w:sz w:val="18"/>
              </w:rPr>
              <w:t>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634</w:t>
            </w:r>
          </w:p>
        </w:tc>
        <w:tc>
          <w:tcPr>
            <w:tcW w:w="3180" w:type="dxa"/>
            <w:tcMar>
              <w:top w:w="0" w:type="dxa"/>
              <w:bottom w:w="0" w:type="dxa"/>
            </w:tcMar>
            <w:vAlign w:val="center"/>
          </w:tcPr>
          <w:p w:rsidR="00EC220F" w:rsidRDefault="00D04D62">
            <w:pPr>
              <w:keepNext/>
              <w:keepLines/>
              <w:spacing w:after="0" w:line="240" w:lineRule="auto"/>
            </w:pPr>
            <w:r>
              <w:rPr>
                <w:sz w:val="18"/>
              </w:rPr>
              <w:t>Pomoći od izvanproračunskih korisnika (šifre 6341+6342)</w:t>
            </w:r>
          </w:p>
        </w:tc>
        <w:tc>
          <w:tcPr>
            <w:tcW w:w="700" w:type="dxa"/>
            <w:tcMar>
              <w:top w:w="0" w:type="dxa"/>
              <w:bottom w:w="0" w:type="dxa"/>
            </w:tcMar>
            <w:vAlign w:val="center"/>
          </w:tcPr>
          <w:p w:rsidR="00EC220F" w:rsidRDefault="00D04D62">
            <w:pPr>
              <w:keepNext/>
              <w:keepLines/>
              <w:spacing w:after="0" w:line="240" w:lineRule="auto"/>
            </w:pPr>
            <w:r>
              <w:rPr>
                <w:sz w:val="18"/>
              </w:rPr>
              <w:t>634</w:t>
            </w:r>
          </w:p>
        </w:tc>
        <w:tc>
          <w:tcPr>
            <w:tcW w:w="1860" w:type="dxa"/>
            <w:tcMar>
              <w:top w:w="0" w:type="dxa"/>
              <w:bottom w:w="0" w:type="dxa"/>
            </w:tcMar>
            <w:vAlign w:val="center"/>
          </w:tcPr>
          <w:p w:rsidR="00EC220F" w:rsidRDefault="00D04D62">
            <w:pPr>
              <w:keepNext/>
              <w:keepLines/>
              <w:spacing w:after="0" w:line="240" w:lineRule="auto"/>
              <w:jc w:val="right"/>
            </w:pPr>
            <w:r>
              <w:rPr>
                <w:sz w:val="18"/>
              </w:rPr>
              <w:t>48.114,45</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700" w:type="dxa"/>
            <w:tcMar>
              <w:top w:w="0" w:type="dxa"/>
              <w:bottom w:w="0" w:type="dxa"/>
            </w:tcMar>
            <w:vAlign w:val="center"/>
          </w:tcPr>
          <w:p w:rsidR="00EC220F" w:rsidRDefault="00D04D62">
            <w:pPr>
              <w:keepNext/>
              <w:keepLines/>
              <w:spacing w:after="0" w:line="240" w:lineRule="auto"/>
              <w:jc w:val="right"/>
            </w:pPr>
            <w:r>
              <w:rPr>
                <w:sz w:val="18"/>
              </w:rPr>
              <w:t>0</w:t>
            </w:r>
          </w:p>
        </w:tc>
      </w:tr>
    </w:tbl>
    <w:p w:rsidR="00EC220F" w:rsidRDefault="00EC220F">
      <w:pPr>
        <w:spacing w:after="0"/>
      </w:pPr>
    </w:p>
    <w:p w:rsidR="00EC220F" w:rsidRDefault="00D04D62">
      <w:r>
        <w:t>U izvještajnom razdoblju 01.01.-31.12.2024. godine ostvaren je prihod Tekuće pomoći od izvanproračunskih korisnika, a odnosio se na prihod od HZZO-a temeljem odluke Ministarstva zdravstva o isplati posebne Covid nagrade u iznosu 10 % od osnovne plaće radni</w:t>
      </w:r>
      <w:r>
        <w:t>ka, djelatnicima koji rade na poslovima s Covid oboljelim ili potencijalno oboljelim pacijentima. Zaključno s plaćom za Kolovoz 2024.g., temeljem odluke Vlade RH, prestala je isplata ovog dodatka, te u 2025.g. nije ostvaren prihod na kontu 6341.</w:t>
      </w:r>
    </w:p>
    <w:p w:rsidR="00EC220F" w:rsidRDefault="00EC220F"/>
    <w:p w:rsidR="00EC220F" w:rsidRDefault="00D04D62">
      <w:pPr>
        <w:keepNext/>
        <w:spacing w:line="240" w:lineRule="auto"/>
        <w:jc w:val="center"/>
      </w:pPr>
      <w:r>
        <w:rPr>
          <w:sz w:val="28"/>
        </w:rPr>
        <w:lastRenderedPageBreak/>
        <w:t xml:space="preserve">Bilješka </w:t>
      </w:r>
      <w:r>
        <w:rPr>
          <w:sz w:val="28"/>
        </w:rPr>
        <w:t>3.</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636</w:t>
            </w:r>
          </w:p>
        </w:tc>
        <w:tc>
          <w:tcPr>
            <w:tcW w:w="3180" w:type="dxa"/>
            <w:tcMar>
              <w:top w:w="0" w:type="dxa"/>
              <w:bottom w:w="0" w:type="dxa"/>
            </w:tcMar>
            <w:vAlign w:val="center"/>
          </w:tcPr>
          <w:p w:rsidR="00EC220F" w:rsidRDefault="00D04D62">
            <w:pPr>
              <w:keepNext/>
              <w:keepLines/>
              <w:spacing w:after="0" w:line="240" w:lineRule="auto"/>
            </w:pPr>
            <w:r>
              <w:rPr>
                <w:sz w:val="18"/>
              </w:rPr>
              <w:t>Pomoći proračunskim korisnicima iz proračuna koji im nije nadležan (šifre 6361+6362)</w:t>
            </w:r>
          </w:p>
        </w:tc>
        <w:tc>
          <w:tcPr>
            <w:tcW w:w="700" w:type="dxa"/>
            <w:tcMar>
              <w:top w:w="0" w:type="dxa"/>
              <w:bottom w:w="0" w:type="dxa"/>
            </w:tcMar>
            <w:vAlign w:val="center"/>
          </w:tcPr>
          <w:p w:rsidR="00EC220F" w:rsidRDefault="00D04D62">
            <w:pPr>
              <w:keepNext/>
              <w:keepLines/>
              <w:spacing w:after="0" w:line="240" w:lineRule="auto"/>
            </w:pPr>
            <w:r>
              <w:rPr>
                <w:sz w:val="18"/>
              </w:rPr>
              <w:t>636</w:t>
            </w:r>
          </w:p>
        </w:tc>
        <w:tc>
          <w:tcPr>
            <w:tcW w:w="1860" w:type="dxa"/>
            <w:tcMar>
              <w:top w:w="0" w:type="dxa"/>
              <w:bottom w:w="0" w:type="dxa"/>
            </w:tcMar>
            <w:vAlign w:val="center"/>
          </w:tcPr>
          <w:p w:rsidR="00EC220F" w:rsidRDefault="00D04D62">
            <w:pPr>
              <w:keepNext/>
              <w:keepLines/>
              <w:spacing w:after="0" w:line="240" w:lineRule="auto"/>
              <w:jc w:val="right"/>
            </w:pPr>
            <w:r>
              <w:rPr>
                <w:sz w:val="18"/>
              </w:rPr>
              <w:t>73.461,33</w:t>
            </w:r>
          </w:p>
        </w:tc>
        <w:tc>
          <w:tcPr>
            <w:tcW w:w="1860" w:type="dxa"/>
            <w:tcMar>
              <w:top w:w="0" w:type="dxa"/>
              <w:bottom w:w="0" w:type="dxa"/>
            </w:tcMar>
            <w:vAlign w:val="center"/>
          </w:tcPr>
          <w:p w:rsidR="00EC220F" w:rsidRDefault="00D04D62">
            <w:pPr>
              <w:keepNext/>
              <w:keepLines/>
              <w:spacing w:after="0" w:line="240" w:lineRule="auto"/>
              <w:jc w:val="right"/>
            </w:pPr>
            <w:r>
              <w:rPr>
                <w:sz w:val="18"/>
              </w:rPr>
              <w:t>72.053,81</w:t>
            </w:r>
          </w:p>
        </w:tc>
        <w:tc>
          <w:tcPr>
            <w:tcW w:w="700" w:type="dxa"/>
            <w:tcMar>
              <w:top w:w="0" w:type="dxa"/>
              <w:bottom w:w="0" w:type="dxa"/>
            </w:tcMar>
            <w:vAlign w:val="center"/>
          </w:tcPr>
          <w:p w:rsidR="00EC220F" w:rsidRDefault="00D04D62">
            <w:pPr>
              <w:keepNext/>
              <w:keepLines/>
              <w:spacing w:after="0" w:line="240" w:lineRule="auto"/>
              <w:jc w:val="right"/>
            </w:pPr>
            <w:r>
              <w:rPr>
                <w:sz w:val="18"/>
              </w:rPr>
              <w:t>98,1</w:t>
            </w:r>
          </w:p>
        </w:tc>
      </w:tr>
    </w:tbl>
    <w:p w:rsidR="00EC220F" w:rsidRDefault="00EC220F">
      <w:pPr>
        <w:spacing w:after="0"/>
      </w:pPr>
    </w:p>
    <w:p w:rsidR="00EC220F" w:rsidRDefault="00D04D62">
      <w:r>
        <w:t>Pomoći proračunskim korisnicima iz proračuna koji im nije nadležan ostvarene su za 1,9 % manje u 2025. godini, nego u 2024.g. Tekuće pomoći proračunskim korisnicima iz proračuna koji im nije nadležan (6361) ostvarene su za 18,5% manje u 2025.g. Razlog manj</w:t>
      </w:r>
      <w:r>
        <w:t>ih prihoda u 2025. godini je zbog toga što je u 2024. godini ostvaren je prihod od Općine Mljet za sufinanciranje dodatnog sanitetskog tima na otoku Mljetu, dok u 2025. godini služba sanitetskog prijevoza nije u sklopu Doma zdravlja, te ta vrsta prihoda ni</w:t>
      </w:r>
      <w:r>
        <w:t>je ostvarena. Također, u 2024. godini ostvaren je prihod od Općine Mljet za sufinanciranje turističke ambulante u Srpnju i Kolovozu, dok u 2025. godini, zbog nedostatka liječnika, turistička ambulanta na otoku Mljetu nije oformljena.</w:t>
      </w:r>
    </w:p>
    <w:p w:rsidR="00EC220F" w:rsidRDefault="00D04D62">
      <w:r>
        <w:t>U 2025. godinu ostvare</w:t>
      </w:r>
      <w:r>
        <w:t>ne su kapitalne pomoći od proračuna koji nije nadležan za 91,9% veće nego u 2024. godini, razlog većeg iznosa kapitalnih pomoći je cjelokupno financiranje nabave stomatološke stolice od strane Grada Dubrovnika, te sufinanciranje nabave defibrilatora od str</w:t>
      </w:r>
      <w:r>
        <w:t>ane Ministarstva zdravstva, dok je u 2024. godini ostvarena kapitalna pomoć samo za sufinanciranje dijela nabave stomatološke stolice.</w:t>
      </w:r>
    </w:p>
    <w:p w:rsidR="00EC220F" w:rsidRDefault="00EC220F"/>
    <w:p w:rsidR="00EC220F" w:rsidRDefault="00D04D62">
      <w:pPr>
        <w:keepNext/>
        <w:spacing w:line="240" w:lineRule="auto"/>
        <w:jc w:val="center"/>
      </w:pPr>
      <w:r>
        <w:rPr>
          <w:sz w:val="28"/>
        </w:rPr>
        <w:t>Bilješka 4.</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w:t>
            </w:r>
            <w:r>
              <w:rPr>
                <w:b/>
                <w:sz w:val="18"/>
              </w:rPr>
              <w:t>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638</w:t>
            </w:r>
          </w:p>
        </w:tc>
        <w:tc>
          <w:tcPr>
            <w:tcW w:w="3180" w:type="dxa"/>
            <w:tcMar>
              <w:top w:w="0" w:type="dxa"/>
              <w:bottom w:w="0" w:type="dxa"/>
            </w:tcMar>
            <w:vAlign w:val="center"/>
          </w:tcPr>
          <w:p w:rsidR="00EC220F" w:rsidRDefault="00D04D62">
            <w:pPr>
              <w:keepNext/>
              <w:keepLines/>
              <w:spacing w:after="0" w:line="240" w:lineRule="auto"/>
            </w:pPr>
            <w:r>
              <w:rPr>
                <w:sz w:val="18"/>
              </w:rPr>
              <w:t>Pomoći temeljem prijenosa EU sredstava (šifre 6381+6382)</w:t>
            </w:r>
          </w:p>
        </w:tc>
        <w:tc>
          <w:tcPr>
            <w:tcW w:w="700" w:type="dxa"/>
            <w:tcMar>
              <w:top w:w="0" w:type="dxa"/>
              <w:bottom w:w="0" w:type="dxa"/>
            </w:tcMar>
            <w:vAlign w:val="center"/>
          </w:tcPr>
          <w:p w:rsidR="00EC220F" w:rsidRDefault="00D04D62">
            <w:pPr>
              <w:keepNext/>
              <w:keepLines/>
              <w:spacing w:after="0" w:line="240" w:lineRule="auto"/>
            </w:pPr>
            <w:r>
              <w:rPr>
                <w:sz w:val="18"/>
              </w:rPr>
              <w:t>638</w:t>
            </w:r>
          </w:p>
        </w:tc>
        <w:tc>
          <w:tcPr>
            <w:tcW w:w="1860" w:type="dxa"/>
            <w:tcMar>
              <w:top w:w="0" w:type="dxa"/>
              <w:bottom w:w="0" w:type="dxa"/>
            </w:tcMar>
            <w:vAlign w:val="center"/>
          </w:tcPr>
          <w:p w:rsidR="00EC220F" w:rsidRDefault="00D04D62">
            <w:pPr>
              <w:keepNext/>
              <w:keepLines/>
              <w:spacing w:after="0" w:line="240" w:lineRule="auto"/>
              <w:jc w:val="right"/>
            </w:pPr>
            <w:r>
              <w:rPr>
                <w:sz w:val="18"/>
              </w:rPr>
              <w:t>78.993,86</w:t>
            </w:r>
          </w:p>
        </w:tc>
        <w:tc>
          <w:tcPr>
            <w:tcW w:w="1860" w:type="dxa"/>
            <w:tcMar>
              <w:top w:w="0" w:type="dxa"/>
              <w:bottom w:w="0" w:type="dxa"/>
            </w:tcMar>
            <w:vAlign w:val="center"/>
          </w:tcPr>
          <w:p w:rsidR="00EC220F" w:rsidRDefault="00D04D62">
            <w:pPr>
              <w:keepNext/>
              <w:keepLines/>
              <w:spacing w:after="0" w:line="240" w:lineRule="auto"/>
              <w:jc w:val="right"/>
            </w:pPr>
            <w:r>
              <w:rPr>
                <w:sz w:val="18"/>
              </w:rPr>
              <w:t>76.304,99</w:t>
            </w:r>
          </w:p>
        </w:tc>
        <w:tc>
          <w:tcPr>
            <w:tcW w:w="700" w:type="dxa"/>
            <w:tcMar>
              <w:top w:w="0" w:type="dxa"/>
              <w:bottom w:w="0" w:type="dxa"/>
            </w:tcMar>
            <w:vAlign w:val="center"/>
          </w:tcPr>
          <w:p w:rsidR="00EC220F" w:rsidRDefault="00D04D62">
            <w:pPr>
              <w:keepNext/>
              <w:keepLines/>
              <w:spacing w:after="0" w:line="240" w:lineRule="auto"/>
              <w:jc w:val="right"/>
            </w:pPr>
            <w:r>
              <w:rPr>
                <w:sz w:val="18"/>
              </w:rPr>
              <w:t>96,6</w:t>
            </w:r>
          </w:p>
        </w:tc>
      </w:tr>
    </w:tbl>
    <w:p w:rsidR="00EC220F" w:rsidRDefault="00EC220F">
      <w:pPr>
        <w:spacing w:after="0"/>
      </w:pPr>
    </w:p>
    <w:p w:rsidR="00EC220F" w:rsidRDefault="00D04D62">
      <w:r>
        <w:t>Pomoći temeljem prijenosa EU sredstava u 2025.g. odnose se na sufinanciranje plaća dva liječnika specijalizanta, dok je u prvom polugodištu 2024.g bio aktualan još jedan ugovor po kojem je zadnji ZNS zahtjev naplaćen u Veljači 2024.g., te je zbog toga manj</w:t>
      </w:r>
      <w:r>
        <w:t>i prihod u 2025. godini. U 2025. godini ostvaren je prihod po kontu 6382 – Kapitalne pomoći temeljem prijenosa EU sredstava, a odnosi se na uplatu Ministarstva regionalnog razvoja i Eu fondova (Program prekogranične suradnje) za rashode za nabavu nefinanci</w:t>
      </w:r>
      <w:r>
        <w:t>jske imovine u 2024.g., te za dio rashoda u 2025. godini, preostali iznos potraživanja bi trebao biti plaćen u 2026. godini.</w:t>
      </w:r>
    </w:p>
    <w:p w:rsidR="00EC220F" w:rsidRDefault="00EC220F"/>
    <w:p w:rsidR="00EC220F" w:rsidRDefault="00D04D62">
      <w:pPr>
        <w:keepNext/>
        <w:spacing w:line="240" w:lineRule="auto"/>
        <w:jc w:val="center"/>
      </w:pPr>
      <w:r>
        <w:rPr>
          <w:sz w:val="28"/>
        </w:rPr>
        <w:lastRenderedPageBreak/>
        <w:t>Bilješka 5.</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64</w:t>
            </w:r>
          </w:p>
        </w:tc>
        <w:tc>
          <w:tcPr>
            <w:tcW w:w="3180" w:type="dxa"/>
            <w:tcMar>
              <w:top w:w="0" w:type="dxa"/>
              <w:bottom w:w="0" w:type="dxa"/>
            </w:tcMar>
            <w:vAlign w:val="center"/>
          </w:tcPr>
          <w:p w:rsidR="00EC220F" w:rsidRDefault="00D04D62">
            <w:pPr>
              <w:keepNext/>
              <w:keepLines/>
              <w:spacing w:after="0" w:line="240" w:lineRule="auto"/>
            </w:pPr>
            <w:r>
              <w:rPr>
                <w:sz w:val="18"/>
              </w:rPr>
              <w:t>Prihodi od imovine (šifre 641+642+643)</w:t>
            </w:r>
          </w:p>
        </w:tc>
        <w:tc>
          <w:tcPr>
            <w:tcW w:w="700" w:type="dxa"/>
            <w:tcMar>
              <w:top w:w="0" w:type="dxa"/>
              <w:bottom w:w="0" w:type="dxa"/>
            </w:tcMar>
            <w:vAlign w:val="center"/>
          </w:tcPr>
          <w:p w:rsidR="00EC220F" w:rsidRDefault="00D04D62">
            <w:pPr>
              <w:keepNext/>
              <w:keepLines/>
              <w:spacing w:after="0" w:line="240" w:lineRule="auto"/>
            </w:pPr>
            <w:r>
              <w:rPr>
                <w:sz w:val="18"/>
              </w:rPr>
              <w:t>64</w:t>
            </w:r>
          </w:p>
        </w:tc>
        <w:tc>
          <w:tcPr>
            <w:tcW w:w="1860" w:type="dxa"/>
            <w:tcMar>
              <w:top w:w="0" w:type="dxa"/>
              <w:bottom w:w="0" w:type="dxa"/>
            </w:tcMar>
            <w:vAlign w:val="center"/>
          </w:tcPr>
          <w:p w:rsidR="00EC220F" w:rsidRDefault="00D04D62">
            <w:pPr>
              <w:keepNext/>
              <w:keepLines/>
              <w:spacing w:after="0" w:line="240" w:lineRule="auto"/>
              <w:jc w:val="right"/>
            </w:pPr>
            <w:r>
              <w:rPr>
                <w:sz w:val="18"/>
              </w:rPr>
              <w:t>395,69</w:t>
            </w:r>
          </w:p>
        </w:tc>
        <w:tc>
          <w:tcPr>
            <w:tcW w:w="1860" w:type="dxa"/>
            <w:tcMar>
              <w:top w:w="0" w:type="dxa"/>
              <w:bottom w:w="0" w:type="dxa"/>
            </w:tcMar>
            <w:vAlign w:val="center"/>
          </w:tcPr>
          <w:p w:rsidR="00EC220F" w:rsidRDefault="00D04D62">
            <w:pPr>
              <w:keepNext/>
              <w:keepLines/>
              <w:spacing w:after="0" w:line="240" w:lineRule="auto"/>
              <w:jc w:val="right"/>
            </w:pPr>
            <w:r>
              <w:rPr>
                <w:sz w:val="18"/>
              </w:rPr>
              <w:t>221,07</w:t>
            </w:r>
          </w:p>
        </w:tc>
        <w:tc>
          <w:tcPr>
            <w:tcW w:w="700" w:type="dxa"/>
            <w:tcMar>
              <w:top w:w="0" w:type="dxa"/>
              <w:bottom w:w="0" w:type="dxa"/>
            </w:tcMar>
            <w:vAlign w:val="center"/>
          </w:tcPr>
          <w:p w:rsidR="00EC220F" w:rsidRDefault="00D04D62">
            <w:pPr>
              <w:keepNext/>
              <w:keepLines/>
              <w:spacing w:after="0" w:line="240" w:lineRule="auto"/>
              <w:jc w:val="right"/>
            </w:pPr>
            <w:r>
              <w:rPr>
                <w:sz w:val="18"/>
              </w:rPr>
              <w:t>55,9</w:t>
            </w:r>
          </w:p>
        </w:tc>
      </w:tr>
    </w:tbl>
    <w:p w:rsidR="00EC220F" w:rsidRDefault="00EC220F">
      <w:pPr>
        <w:spacing w:after="0"/>
      </w:pPr>
    </w:p>
    <w:p w:rsidR="00EC220F" w:rsidRDefault="00D04D62">
      <w:r>
        <w:t>Prihodi od imovine odnose se na prihode od financijske imovine (641) i prihode od nefinancijske imovine (642), u izvještajnom razdoblju 2025. godine manji su za 44,1% nego u 2024. godini zbog manje naplaćenih kamata na oročena sredstva.</w:t>
      </w:r>
    </w:p>
    <w:p w:rsidR="00EC220F" w:rsidRDefault="00EC220F"/>
    <w:p w:rsidR="00EC220F" w:rsidRDefault="00D04D62">
      <w:pPr>
        <w:keepNext/>
        <w:spacing w:line="240" w:lineRule="auto"/>
        <w:jc w:val="center"/>
      </w:pPr>
      <w:r>
        <w:rPr>
          <w:sz w:val="28"/>
        </w:rPr>
        <w:t>Bilješka 6.</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641</w:t>
            </w:r>
          </w:p>
        </w:tc>
        <w:tc>
          <w:tcPr>
            <w:tcW w:w="3180" w:type="dxa"/>
            <w:tcMar>
              <w:top w:w="0" w:type="dxa"/>
              <w:bottom w:w="0" w:type="dxa"/>
            </w:tcMar>
            <w:vAlign w:val="center"/>
          </w:tcPr>
          <w:p w:rsidR="00EC220F" w:rsidRDefault="00D04D62">
            <w:pPr>
              <w:keepNext/>
              <w:keepLines/>
              <w:spacing w:after="0" w:line="240" w:lineRule="auto"/>
            </w:pPr>
            <w:r>
              <w:rPr>
                <w:sz w:val="18"/>
              </w:rPr>
              <w:t>Prihodi od financijske imovine (šifre 6412 do 6419)</w:t>
            </w:r>
          </w:p>
        </w:tc>
        <w:tc>
          <w:tcPr>
            <w:tcW w:w="700" w:type="dxa"/>
            <w:tcMar>
              <w:top w:w="0" w:type="dxa"/>
              <w:bottom w:w="0" w:type="dxa"/>
            </w:tcMar>
            <w:vAlign w:val="center"/>
          </w:tcPr>
          <w:p w:rsidR="00EC220F" w:rsidRDefault="00D04D62">
            <w:pPr>
              <w:keepNext/>
              <w:keepLines/>
              <w:spacing w:after="0" w:line="240" w:lineRule="auto"/>
            </w:pPr>
            <w:r>
              <w:rPr>
                <w:sz w:val="18"/>
              </w:rPr>
              <w:t>641</w:t>
            </w:r>
          </w:p>
        </w:tc>
        <w:tc>
          <w:tcPr>
            <w:tcW w:w="1860" w:type="dxa"/>
            <w:tcMar>
              <w:top w:w="0" w:type="dxa"/>
              <w:bottom w:w="0" w:type="dxa"/>
            </w:tcMar>
            <w:vAlign w:val="center"/>
          </w:tcPr>
          <w:p w:rsidR="00EC220F" w:rsidRDefault="00D04D62">
            <w:pPr>
              <w:keepNext/>
              <w:keepLines/>
              <w:spacing w:after="0" w:line="240" w:lineRule="auto"/>
              <w:jc w:val="right"/>
            </w:pPr>
            <w:r>
              <w:rPr>
                <w:sz w:val="18"/>
              </w:rPr>
              <w:t>177,16</w:t>
            </w:r>
          </w:p>
        </w:tc>
        <w:tc>
          <w:tcPr>
            <w:tcW w:w="1860" w:type="dxa"/>
            <w:tcMar>
              <w:top w:w="0" w:type="dxa"/>
              <w:bottom w:w="0" w:type="dxa"/>
            </w:tcMar>
            <w:vAlign w:val="center"/>
          </w:tcPr>
          <w:p w:rsidR="00EC220F" w:rsidRDefault="00D04D62">
            <w:pPr>
              <w:keepNext/>
              <w:keepLines/>
              <w:spacing w:after="0" w:line="240" w:lineRule="auto"/>
              <w:jc w:val="right"/>
            </w:pPr>
            <w:r>
              <w:rPr>
                <w:sz w:val="18"/>
              </w:rPr>
              <w:t>67,16</w:t>
            </w:r>
          </w:p>
        </w:tc>
        <w:tc>
          <w:tcPr>
            <w:tcW w:w="700" w:type="dxa"/>
            <w:tcMar>
              <w:top w:w="0" w:type="dxa"/>
              <w:bottom w:w="0" w:type="dxa"/>
            </w:tcMar>
            <w:vAlign w:val="center"/>
          </w:tcPr>
          <w:p w:rsidR="00EC220F" w:rsidRDefault="00D04D62">
            <w:pPr>
              <w:keepNext/>
              <w:keepLines/>
              <w:spacing w:after="0" w:line="240" w:lineRule="auto"/>
              <w:jc w:val="right"/>
            </w:pPr>
            <w:r>
              <w:rPr>
                <w:sz w:val="18"/>
              </w:rPr>
              <w:t>37,9</w:t>
            </w:r>
          </w:p>
        </w:tc>
      </w:tr>
    </w:tbl>
    <w:p w:rsidR="00EC220F" w:rsidRDefault="00EC220F">
      <w:pPr>
        <w:spacing w:after="0"/>
      </w:pPr>
    </w:p>
    <w:p w:rsidR="00EC220F" w:rsidRDefault="00D04D62">
      <w:r>
        <w:t>Prihodi od financijske imovine u 2025. godini ostvareni su u iznosu 67,16 eura što je manje za 62,1 % u odnosu na 2024.g. Prihodi od financijske imovine odnose se na prihode od kamata na oročena sredstva, odnosno virman isplate kamate klijentu koji obračun</w:t>
      </w:r>
      <w:r>
        <w:t>ava banka sama, te nikada ne možemo točno planirati tu vrstu prihoda, te na prihode od zateznih kamata koji su gotovo identični u izvještajnom razdoblju prethodne i tekuće godine.</w:t>
      </w:r>
    </w:p>
    <w:p w:rsidR="00EC220F" w:rsidRDefault="00EC220F"/>
    <w:p w:rsidR="00EC220F" w:rsidRDefault="00D04D62">
      <w:pPr>
        <w:keepNext/>
        <w:spacing w:line="240" w:lineRule="auto"/>
        <w:jc w:val="center"/>
      </w:pPr>
      <w:r>
        <w:rPr>
          <w:sz w:val="28"/>
        </w:rPr>
        <w:t>Bilješka 7.</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642</w:t>
            </w:r>
          </w:p>
        </w:tc>
        <w:tc>
          <w:tcPr>
            <w:tcW w:w="3180" w:type="dxa"/>
            <w:tcMar>
              <w:top w:w="0" w:type="dxa"/>
              <w:bottom w:w="0" w:type="dxa"/>
            </w:tcMar>
            <w:vAlign w:val="center"/>
          </w:tcPr>
          <w:p w:rsidR="00EC220F" w:rsidRDefault="00D04D62">
            <w:pPr>
              <w:keepNext/>
              <w:keepLines/>
              <w:spacing w:after="0" w:line="240" w:lineRule="auto"/>
            </w:pPr>
            <w:r>
              <w:rPr>
                <w:sz w:val="18"/>
              </w:rPr>
              <w:t>Prihodi od nefinancijske imovine (šifre 6421 do 6429)</w:t>
            </w:r>
          </w:p>
        </w:tc>
        <w:tc>
          <w:tcPr>
            <w:tcW w:w="700" w:type="dxa"/>
            <w:tcMar>
              <w:top w:w="0" w:type="dxa"/>
              <w:bottom w:w="0" w:type="dxa"/>
            </w:tcMar>
            <w:vAlign w:val="center"/>
          </w:tcPr>
          <w:p w:rsidR="00EC220F" w:rsidRDefault="00D04D62">
            <w:pPr>
              <w:keepNext/>
              <w:keepLines/>
              <w:spacing w:after="0" w:line="240" w:lineRule="auto"/>
            </w:pPr>
            <w:r>
              <w:rPr>
                <w:sz w:val="18"/>
              </w:rPr>
              <w:t>642</w:t>
            </w:r>
          </w:p>
        </w:tc>
        <w:tc>
          <w:tcPr>
            <w:tcW w:w="1860" w:type="dxa"/>
            <w:tcMar>
              <w:top w:w="0" w:type="dxa"/>
              <w:bottom w:w="0" w:type="dxa"/>
            </w:tcMar>
            <w:vAlign w:val="center"/>
          </w:tcPr>
          <w:p w:rsidR="00EC220F" w:rsidRDefault="00D04D62">
            <w:pPr>
              <w:keepNext/>
              <w:keepLines/>
              <w:spacing w:after="0" w:line="240" w:lineRule="auto"/>
              <w:jc w:val="right"/>
            </w:pPr>
            <w:r>
              <w:rPr>
                <w:sz w:val="18"/>
              </w:rPr>
              <w:t>218,53</w:t>
            </w:r>
          </w:p>
        </w:tc>
        <w:tc>
          <w:tcPr>
            <w:tcW w:w="1860" w:type="dxa"/>
            <w:tcMar>
              <w:top w:w="0" w:type="dxa"/>
              <w:bottom w:w="0" w:type="dxa"/>
            </w:tcMar>
            <w:vAlign w:val="center"/>
          </w:tcPr>
          <w:p w:rsidR="00EC220F" w:rsidRDefault="00D04D62">
            <w:pPr>
              <w:keepNext/>
              <w:keepLines/>
              <w:spacing w:after="0" w:line="240" w:lineRule="auto"/>
              <w:jc w:val="right"/>
            </w:pPr>
            <w:r>
              <w:rPr>
                <w:sz w:val="18"/>
              </w:rPr>
              <w:t>153,91</w:t>
            </w:r>
          </w:p>
        </w:tc>
        <w:tc>
          <w:tcPr>
            <w:tcW w:w="700" w:type="dxa"/>
            <w:tcMar>
              <w:top w:w="0" w:type="dxa"/>
              <w:bottom w:w="0" w:type="dxa"/>
            </w:tcMar>
            <w:vAlign w:val="center"/>
          </w:tcPr>
          <w:p w:rsidR="00EC220F" w:rsidRDefault="00D04D62">
            <w:pPr>
              <w:keepNext/>
              <w:keepLines/>
              <w:spacing w:after="0" w:line="240" w:lineRule="auto"/>
              <w:jc w:val="right"/>
            </w:pPr>
            <w:r>
              <w:rPr>
                <w:sz w:val="18"/>
              </w:rPr>
              <w:t>70,4</w:t>
            </w:r>
          </w:p>
        </w:tc>
      </w:tr>
    </w:tbl>
    <w:p w:rsidR="00EC220F" w:rsidRDefault="00EC220F">
      <w:pPr>
        <w:spacing w:after="0"/>
      </w:pPr>
    </w:p>
    <w:p w:rsidR="00EC220F" w:rsidRDefault="00D04D62">
      <w:r>
        <w:t>Prihodi od nefinancijske imovine manji su u 2025.g. za 29,6 %, odnose se na naknadu za korištenje nefinancijske imovine od strane trgovačkog društva koje temeljem sporazuma iz 1998.g. plaćana naknadu koja se iz godine u godinu smanjuje.</w:t>
      </w:r>
    </w:p>
    <w:p w:rsidR="00EC220F" w:rsidRDefault="00EC220F"/>
    <w:p w:rsidR="00EC220F" w:rsidRDefault="00D04D62">
      <w:pPr>
        <w:keepNext/>
        <w:spacing w:line="240" w:lineRule="auto"/>
        <w:jc w:val="center"/>
      </w:pPr>
      <w:r>
        <w:rPr>
          <w:sz w:val="28"/>
        </w:rPr>
        <w:t>Bilješka 8.</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652</w:t>
            </w:r>
          </w:p>
        </w:tc>
        <w:tc>
          <w:tcPr>
            <w:tcW w:w="3180" w:type="dxa"/>
            <w:tcMar>
              <w:top w:w="0" w:type="dxa"/>
              <w:bottom w:w="0" w:type="dxa"/>
            </w:tcMar>
            <w:vAlign w:val="center"/>
          </w:tcPr>
          <w:p w:rsidR="00EC220F" w:rsidRDefault="00D04D62">
            <w:pPr>
              <w:keepNext/>
              <w:keepLines/>
              <w:spacing w:after="0" w:line="240" w:lineRule="auto"/>
            </w:pPr>
            <w:r>
              <w:rPr>
                <w:sz w:val="18"/>
              </w:rPr>
              <w:t>Prihodi po posebnim propisima (šifre 6521 do 6528)</w:t>
            </w:r>
          </w:p>
        </w:tc>
        <w:tc>
          <w:tcPr>
            <w:tcW w:w="700" w:type="dxa"/>
            <w:tcMar>
              <w:top w:w="0" w:type="dxa"/>
              <w:bottom w:w="0" w:type="dxa"/>
            </w:tcMar>
            <w:vAlign w:val="center"/>
          </w:tcPr>
          <w:p w:rsidR="00EC220F" w:rsidRDefault="00D04D62">
            <w:pPr>
              <w:keepNext/>
              <w:keepLines/>
              <w:spacing w:after="0" w:line="240" w:lineRule="auto"/>
            </w:pPr>
            <w:r>
              <w:rPr>
                <w:sz w:val="18"/>
              </w:rPr>
              <w:t>652</w:t>
            </w:r>
          </w:p>
        </w:tc>
        <w:tc>
          <w:tcPr>
            <w:tcW w:w="1860" w:type="dxa"/>
            <w:tcMar>
              <w:top w:w="0" w:type="dxa"/>
              <w:bottom w:w="0" w:type="dxa"/>
            </w:tcMar>
            <w:vAlign w:val="center"/>
          </w:tcPr>
          <w:p w:rsidR="00EC220F" w:rsidRDefault="00D04D62">
            <w:pPr>
              <w:keepNext/>
              <w:keepLines/>
              <w:spacing w:after="0" w:line="240" w:lineRule="auto"/>
              <w:jc w:val="right"/>
            </w:pPr>
            <w:r>
              <w:rPr>
                <w:sz w:val="18"/>
              </w:rPr>
              <w:t>85.741,14</w:t>
            </w:r>
          </w:p>
        </w:tc>
        <w:tc>
          <w:tcPr>
            <w:tcW w:w="1860" w:type="dxa"/>
            <w:tcMar>
              <w:top w:w="0" w:type="dxa"/>
              <w:bottom w:w="0" w:type="dxa"/>
            </w:tcMar>
            <w:vAlign w:val="center"/>
          </w:tcPr>
          <w:p w:rsidR="00EC220F" w:rsidRDefault="00D04D62">
            <w:pPr>
              <w:keepNext/>
              <w:keepLines/>
              <w:spacing w:after="0" w:line="240" w:lineRule="auto"/>
              <w:jc w:val="right"/>
            </w:pPr>
            <w:r>
              <w:rPr>
                <w:sz w:val="18"/>
              </w:rPr>
              <w:t>63.198,62</w:t>
            </w:r>
          </w:p>
        </w:tc>
        <w:tc>
          <w:tcPr>
            <w:tcW w:w="700" w:type="dxa"/>
            <w:tcMar>
              <w:top w:w="0" w:type="dxa"/>
              <w:bottom w:w="0" w:type="dxa"/>
            </w:tcMar>
            <w:vAlign w:val="center"/>
          </w:tcPr>
          <w:p w:rsidR="00EC220F" w:rsidRDefault="00D04D62">
            <w:pPr>
              <w:keepNext/>
              <w:keepLines/>
              <w:spacing w:after="0" w:line="240" w:lineRule="auto"/>
              <w:jc w:val="right"/>
            </w:pPr>
            <w:r>
              <w:rPr>
                <w:sz w:val="18"/>
              </w:rPr>
              <w:t>73,7</w:t>
            </w:r>
          </w:p>
        </w:tc>
      </w:tr>
    </w:tbl>
    <w:p w:rsidR="00EC220F" w:rsidRDefault="00EC220F">
      <w:pPr>
        <w:spacing w:after="0"/>
      </w:pPr>
    </w:p>
    <w:p w:rsidR="00EC220F" w:rsidRDefault="00D04D62">
      <w:r>
        <w:lastRenderedPageBreak/>
        <w:t xml:space="preserve">Prihodi po posebnim propisima u  2025. godini manji su za 26,30 % nego u 2024.g. zbog manje naplaćenog iznosa participacije od pacijenata, manje naplaćenog iznosa od dopunskog osiguranja, te manjeg iznosa prihoda od osiguranja, refundacije štete i totalne </w:t>
      </w:r>
      <w:r>
        <w:t>štete.</w:t>
      </w:r>
    </w:p>
    <w:p w:rsidR="00EC220F" w:rsidRDefault="00EC220F"/>
    <w:p w:rsidR="00EC220F" w:rsidRDefault="00D04D62">
      <w:pPr>
        <w:keepNext/>
        <w:spacing w:line="240" w:lineRule="auto"/>
        <w:jc w:val="center"/>
      </w:pPr>
      <w:r>
        <w:rPr>
          <w:sz w:val="28"/>
        </w:rPr>
        <w:t>Bilješka 9.</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661</w:t>
            </w:r>
          </w:p>
        </w:tc>
        <w:tc>
          <w:tcPr>
            <w:tcW w:w="3180" w:type="dxa"/>
            <w:tcMar>
              <w:top w:w="0" w:type="dxa"/>
              <w:bottom w:w="0" w:type="dxa"/>
            </w:tcMar>
            <w:vAlign w:val="center"/>
          </w:tcPr>
          <w:p w:rsidR="00EC220F" w:rsidRDefault="00D04D62">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rsidR="00EC220F" w:rsidRDefault="00D04D62">
            <w:pPr>
              <w:keepNext/>
              <w:keepLines/>
              <w:spacing w:after="0" w:line="240" w:lineRule="auto"/>
            </w:pPr>
            <w:r>
              <w:rPr>
                <w:sz w:val="18"/>
              </w:rPr>
              <w:t>661</w:t>
            </w:r>
          </w:p>
        </w:tc>
        <w:tc>
          <w:tcPr>
            <w:tcW w:w="1860" w:type="dxa"/>
            <w:tcMar>
              <w:top w:w="0" w:type="dxa"/>
              <w:bottom w:w="0" w:type="dxa"/>
            </w:tcMar>
            <w:vAlign w:val="center"/>
          </w:tcPr>
          <w:p w:rsidR="00EC220F" w:rsidRDefault="00D04D62">
            <w:pPr>
              <w:keepNext/>
              <w:keepLines/>
              <w:spacing w:after="0" w:line="240" w:lineRule="auto"/>
              <w:jc w:val="right"/>
            </w:pPr>
            <w:r>
              <w:rPr>
                <w:sz w:val="18"/>
              </w:rPr>
              <w:t>633.095,39</w:t>
            </w:r>
          </w:p>
        </w:tc>
        <w:tc>
          <w:tcPr>
            <w:tcW w:w="1860" w:type="dxa"/>
            <w:tcMar>
              <w:top w:w="0" w:type="dxa"/>
              <w:bottom w:w="0" w:type="dxa"/>
            </w:tcMar>
            <w:vAlign w:val="center"/>
          </w:tcPr>
          <w:p w:rsidR="00EC220F" w:rsidRDefault="00D04D62">
            <w:pPr>
              <w:keepNext/>
              <w:keepLines/>
              <w:spacing w:after="0" w:line="240" w:lineRule="auto"/>
              <w:jc w:val="right"/>
            </w:pPr>
            <w:r>
              <w:rPr>
                <w:sz w:val="18"/>
              </w:rPr>
              <w:t>652.006,42</w:t>
            </w:r>
          </w:p>
        </w:tc>
        <w:tc>
          <w:tcPr>
            <w:tcW w:w="700" w:type="dxa"/>
            <w:tcMar>
              <w:top w:w="0" w:type="dxa"/>
              <w:bottom w:w="0" w:type="dxa"/>
            </w:tcMar>
            <w:vAlign w:val="center"/>
          </w:tcPr>
          <w:p w:rsidR="00EC220F" w:rsidRDefault="00D04D62">
            <w:pPr>
              <w:keepNext/>
              <w:keepLines/>
              <w:spacing w:after="0" w:line="240" w:lineRule="auto"/>
              <w:jc w:val="right"/>
            </w:pPr>
            <w:r>
              <w:rPr>
                <w:sz w:val="18"/>
              </w:rPr>
              <w:t>103,0</w:t>
            </w:r>
          </w:p>
        </w:tc>
      </w:tr>
    </w:tbl>
    <w:p w:rsidR="00EC220F" w:rsidRDefault="00EC220F">
      <w:pPr>
        <w:spacing w:after="0"/>
      </w:pPr>
    </w:p>
    <w:p w:rsidR="00EC220F" w:rsidRDefault="00D04D62">
      <w:r>
        <w:t>Prihodi od prodaje proizvoda i robe te pruženih usluga ostvareni su 3 % viši nego u istom izvještajnom razdoblju prethodne godine zbog većih prihoda od prefakturiranih troškova stanova u zakupu, prihoda od zakupa stanova, prih</w:t>
      </w:r>
      <w:r>
        <w:t>oda od usluga izvan osiguranja, prihoda zubne tehnike isl.</w:t>
      </w:r>
    </w:p>
    <w:p w:rsidR="00EC220F" w:rsidRDefault="00EC220F"/>
    <w:p w:rsidR="00EC220F" w:rsidRDefault="00D04D62">
      <w:pPr>
        <w:keepNext/>
        <w:spacing w:line="240" w:lineRule="auto"/>
        <w:jc w:val="center"/>
      </w:pPr>
      <w:r>
        <w:rPr>
          <w:sz w:val="28"/>
        </w:rPr>
        <w:t>Bilješka 10.</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663</w:t>
            </w:r>
          </w:p>
        </w:tc>
        <w:tc>
          <w:tcPr>
            <w:tcW w:w="3180" w:type="dxa"/>
            <w:tcMar>
              <w:top w:w="0" w:type="dxa"/>
              <w:bottom w:w="0" w:type="dxa"/>
            </w:tcMar>
            <w:vAlign w:val="center"/>
          </w:tcPr>
          <w:p w:rsidR="00EC220F" w:rsidRDefault="00D04D62">
            <w:pPr>
              <w:keepNext/>
              <w:keepLines/>
              <w:spacing w:after="0" w:line="240" w:lineRule="auto"/>
            </w:pPr>
            <w:r>
              <w:rPr>
                <w:sz w:val="18"/>
              </w:rPr>
              <w:t xml:space="preserve">Donacije od pravnih i </w:t>
            </w:r>
            <w:r>
              <w:rPr>
                <w:sz w:val="18"/>
              </w:rPr>
              <w:t>fizičkih osoba izvan općeg proračuna te povrat donacija i kapitalnih pomoći po protestiranim jamstvima (šifre 6631 do 6634)</w:t>
            </w:r>
          </w:p>
        </w:tc>
        <w:tc>
          <w:tcPr>
            <w:tcW w:w="700" w:type="dxa"/>
            <w:tcMar>
              <w:top w:w="0" w:type="dxa"/>
              <w:bottom w:w="0" w:type="dxa"/>
            </w:tcMar>
            <w:vAlign w:val="center"/>
          </w:tcPr>
          <w:p w:rsidR="00EC220F" w:rsidRDefault="00D04D62">
            <w:pPr>
              <w:keepNext/>
              <w:keepLines/>
              <w:spacing w:after="0" w:line="240" w:lineRule="auto"/>
            </w:pPr>
            <w:r>
              <w:rPr>
                <w:sz w:val="18"/>
              </w:rPr>
              <w:t>663</w:t>
            </w:r>
          </w:p>
        </w:tc>
        <w:tc>
          <w:tcPr>
            <w:tcW w:w="1860" w:type="dxa"/>
            <w:tcMar>
              <w:top w:w="0" w:type="dxa"/>
              <w:bottom w:w="0" w:type="dxa"/>
            </w:tcMar>
            <w:vAlign w:val="center"/>
          </w:tcPr>
          <w:p w:rsidR="00EC220F" w:rsidRDefault="00D04D62">
            <w:pPr>
              <w:keepNext/>
              <w:keepLines/>
              <w:spacing w:after="0" w:line="240" w:lineRule="auto"/>
              <w:jc w:val="right"/>
            </w:pPr>
            <w:r>
              <w:rPr>
                <w:sz w:val="18"/>
              </w:rPr>
              <w:t>53.946,95</w:t>
            </w:r>
          </w:p>
        </w:tc>
        <w:tc>
          <w:tcPr>
            <w:tcW w:w="1860" w:type="dxa"/>
            <w:tcMar>
              <w:top w:w="0" w:type="dxa"/>
              <w:bottom w:w="0" w:type="dxa"/>
            </w:tcMar>
            <w:vAlign w:val="center"/>
          </w:tcPr>
          <w:p w:rsidR="00EC220F" w:rsidRDefault="00D04D62">
            <w:pPr>
              <w:keepNext/>
              <w:keepLines/>
              <w:spacing w:after="0" w:line="240" w:lineRule="auto"/>
              <w:jc w:val="right"/>
            </w:pPr>
            <w:r>
              <w:rPr>
                <w:sz w:val="18"/>
              </w:rPr>
              <w:t>800,00</w:t>
            </w:r>
          </w:p>
        </w:tc>
        <w:tc>
          <w:tcPr>
            <w:tcW w:w="700" w:type="dxa"/>
            <w:tcMar>
              <w:top w:w="0" w:type="dxa"/>
              <w:bottom w:w="0" w:type="dxa"/>
            </w:tcMar>
            <w:vAlign w:val="center"/>
          </w:tcPr>
          <w:p w:rsidR="00EC220F" w:rsidRDefault="00D04D62">
            <w:pPr>
              <w:keepNext/>
              <w:keepLines/>
              <w:spacing w:after="0" w:line="240" w:lineRule="auto"/>
              <w:jc w:val="right"/>
            </w:pPr>
            <w:r>
              <w:rPr>
                <w:sz w:val="18"/>
              </w:rPr>
              <w:t>1,5</w:t>
            </w:r>
          </w:p>
        </w:tc>
      </w:tr>
    </w:tbl>
    <w:p w:rsidR="00EC220F" w:rsidRDefault="00EC220F">
      <w:pPr>
        <w:spacing w:after="0"/>
      </w:pPr>
    </w:p>
    <w:p w:rsidR="00EC220F" w:rsidRDefault="00D04D62">
      <w:r>
        <w:t>Razlog daleko većih prihoda od donacije u 2024. godini je zbog toga što su ostvareni prihodi od kapitalni</w:t>
      </w:r>
      <w:r>
        <w:t>h donacija za ginekološki ultrazvuk u iznosu 53.446,95 eura, te 500 eura tekućih donacija za sufinanciranje kotizacija za seminare, dok su u 2025. godini ostvarene samo tekuće donacije u iznosu 800,00 eura, odnose se na donaciju trgovačkog društva za sufin</w:t>
      </w:r>
      <w:r>
        <w:t>anciranje troškova sudjelovanja na seminaru iz područja palijative.</w:t>
      </w:r>
    </w:p>
    <w:p w:rsidR="00EC220F" w:rsidRDefault="00D04D62">
      <w:r>
        <w:t> </w:t>
      </w:r>
    </w:p>
    <w:p w:rsidR="00EC220F" w:rsidRDefault="00EC220F"/>
    <w:p w:rsidR="00EC220F" w:rsidRDefault="00D04D62">
      <w:pPr>
        <w:keepNext/>
        <w:spacing w:line="240" w:lineRule="auto"/>
        <w:jc w:val="center"/>
      </w:pPr>
      <w:r>
        <w:rPr>
          <w:sz w:val="28"/>
        </w:rPr>
        <w:t>Bilješka 11.</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671</w:t>
            </w:r>
          </w:p>
        </w:tc>
        <w:tc>
          <w:tcPr>
            <w:tcW w:w="3180" w:type="dxa"/>
            <w:tcMar>
              <w:top w:w="0" w:type="dxa"/>
              <w:bottom w:w="0" w:type="dxa"/>
            </w:tcMar>
            <w:vAlign w:val="center"/>
          </w:tcPr>
          <w:p w:rsidR="00EC220F" w:rsidRDefault="00D04D62">
            <w:pPr>
              <w:keepNext/>
              <w:keepLines/>
              <w:spacing w:after="0" w:line="240" w:lineRule="auto"/>
            </w:pPr>
            <w:r>
              <w:rPr>
                <w:sz w:val="18"/>
              </w:rPr>
              <w:t xml:space="preserve">Prihodi iz </w:t>
            </w:r>
            <w:r>
              <w:rPr>
                <w:sz w:val="18"/>
              </w:rPr>
              <w:t>nadležnog proračuna za financiranje redovne djelatnosti proračunskih korisnika (šifre 6711 do 6714)</w:t>
            </w:r>
          </w:p>
        </w:tc>
        <w:tc>
          <w:tcPr>
            <w:tcW w:w="700" w:type="dxa"/>
            <w:tcMar>
              <w:top w:w="0" w:type="dxa"/>
              <w:bottom w:w="0" w:type="dxa"/>
            </w:tcMar>
            <w:vAlign w:val="center"/>
          </w:tcPr>
          <w:p w:rsidR="00EC220F" w:rsidRDefault="00D04D62">
            <w:pPr>
              <w:keepNext/>
              <w:keepLines/>
              <w:spacing w:after="0" w:line="240" w:lineRule="auto"/>
            </w:pPr>
            <w:r>
              <w:rPr>
                <w:sz w:val="18"/>
              </w:rPr>
              <w:t>671</w:t>
            </w:r>
          </w:p>
        </w:tc>
        <w:tc>
          <w:tcPr>
            <w:tcW w:w="1860" w:type="dxa"/>
            <w:tcMar>
              <w:top w:w="0" w:type="dxa"/>
              <w:bottom w:w="0" w:type="dxa"/>
            </w:tcMar>
            <w:vAlign w:val="center"/>
          </w:tcPr>
          <w:p w:rsidR="00EC220F" w:rsidRDefault="00D04D62">
            <w:pPr>
              <w:keepNext/>
              <w:keepLines/>
              <w:spacing w:after="0" w:line="240" w:lineRule="auto"/>
              <w:jc w:val="right"/>
            </w:pPr>
            <w:r>
              <w:rPr>
                <w:sz w:val="18"/>
              </w:rPr>
              <w:t>375.554,00</w:t>
            </w:r>
          </w:p>
        </w:tc>
        <w:tc>
          <w:tcPr>
            <w:tcW w:w="1860" w:type="dxa"/>
            <w:tcMar>
              <w:top w:w="0" w:type="dxa"/>
              <w:bottom w:w="0" w:type="dxa"/>
            </w:tcMar>
            <w:vAlign w:val="center"/>
          </w:tcPr>
          <w:p w:rsidR="00EC220F" w:rsidRDefault="00D04D62">
            <w:pPr>
              <w:keepNext/>
              <w:keepLines/>
              <w:spacing w:after="0" w:line="240" w:lineRule="auto"/>
              <w:jc w:val="right"/>
            </w:pPr>
            <w:r>
              <w:rPr>
                <w:sz w:val="18"/>
              </w:rPr>
              <w:t>506.136,25</w:t>
            </w:r>
          </w:p>
        </w:tc>
        <w:tc>
          <w:tcPr>
            <w:tcW w:w="700" w:type="dxa"/>
            <w:tcMar>
              <w:top w:w="0" w:type="dxa"/>
              <w:bottom w:w="0" w:type="dxa"/>
            </w:tcMar>
            <w:vAlign w:val="center"/>
          </w:tcPr>
          <w:p w:rsidR="00EC220F" w:rsidRDefault="00D04D62">
            <w:pPr>
              <w:keepNext/>
              <w:keepLines/>
              <w:spacing w:after="0" w:line="240" w:lineRule="auto"/>
              <w:jc w:val="right"/>
            </w:pPr>
            <w:r>
              <w:rPr>
                <w:sz w:val="18"/>
              </w:rPr>
              <w:t>134,8</w:t>
            </w:r>
          </w:p>
        </w:tc>
      </w:tr>
    </w:tbl>
    <w:p w:rsidR="00EC220F" w:rsidRDefault="00EC220F">
      <w:pPr>
        <w:spacing w:after="0"/>
      </w:pPr>
    </w:p>
    <w:p w:rsidR="00EC220F" w:rsidRDefault="00D04D62">
      <w:r>
        <w:t xml:space="preserve">U 2025. godini ostvareni su 34,8 % veći prihodi od nadležnog proračuna nego u 2024. godini, razlog tome su veći Opći prihodi i primici od Dubrovačko neretvanske županije za pokriće </w:t>
      </w:r>
      <w:r>
        <w:lastRenderedPageBreak/>
        <w:t>rashoda za plaće i doprinose na plaće, pokriće rashoda za usluge, nabavu ne</w:t>
      </w:r>
      <w:r>
        <w:t>financijske imovine, te dodatna ulaganja u građevinske objekte.</w:t>
      </w:r>
    </w:p>
    <w:p w:rsidR="00EC220F" w:rsidRDefault="00EC220F"/>
    <w:p w:rsidR="00EC220F" w:rsidRDefault="00D04D62">
      <w:pPr>
        <w:keepNext/>
        <w:spacing w:line="240" w:lineRule="auto"/>
        <w:jc w:val="center"/>
      </w:pPr>
      <w:r>
        <w:rPr>
          <w:sz w:val="28"/>
        </w:rPr>
        <w:t>Bilješka 12.</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673</w:t>
            </w:r>
          </w:p>
        </w:tc>
        <w:tc>
          <w:tcPr>
            <w:tcW w:w="3180" w:type="dxa"/>
            <w:tcMar>
              <w:top w:w="0" w:type="dxa"/>
              <w:bottom w:w="0" w:type="dxa"/>
            </w:tcMar>
            <w:vAlign w:val="center"/>
          </w:tcPr>
          <w:p w:rsidR="00EC220F" w:rsidRDefault="00D04D62">
            <w:pPr>
              <w:keepNext/>
              <w:keepLines/>
              <w:spacing w:after="0" w:line="240" w:lineRule="auto"/>
            </w:pPr>
            <w:r>
              <w:rPr>
                <w:sz w:val="18"/>
              </w:rPr>
              <w:t xml:space="preserve">Prihodi od HZZO-a na </w:t>
            </w:r>
            <w:r>
              <w:rPr>
                <w:sz w:val="18"/>
              </w:rPr>
              <w:t>temelju ugovornih obveza</w:t>
            </w:r>
          </w:p>
        </w:tc>
        <w:tc>
          <w:tcPr>
            <w:tcW w:w="700" w:type="dxa"/>
            <w:tcMar>
              <w:top w:w="0" w:type="dxa"/>
              <w:bottom w:w="0" w:type="dxa"/>
            </w:tcMar>
            <w:vAlign w:val="center"/>
          </w:tcPr>
          <w:p w:rsidR="00EC220F" w:rsidRDefault="00D04D62">
            <w:pPr>
              <w:keepNext/>
              <w:keepLines/>
              <w:spacing w:after="0" w:line="240" w:lineRule="auto"/>
            </w:pPr>
            <w:r>
              <w:rPr>
                <w:sz w:val="18"/>
              </w:rPr>
              <w:t>673</w:t>
            </w:r>
          </w:p>
        </w:tc>
        <w:tc>
          <w:tcPr>
            <w:tcW w:w="1860" w:type="dxa"/>
            <w:tcMar>
              <w:top w:w="0" w:type="dxa"/>
              <w:bottom w:w="0" w:type="dxa"/>
            </w:tcMar>
            <w:vAlign w:val="center"/>
          </w:tcPr>
          <w:p w:rsidR="00EC220F" w:rsidRDefault="00D04D62">
            <w:pPr>
              <w:keepNext/>
              <w:keepLines/>
              <w:spacing w:after="0" w:line="240" w:lineRule="auto"/>
              <w:jc w:val="right"/>
            </w:pPr>
            <w:r>
              <w:rPr>
                <w:sz w:val="18"/>
              </w:rPr>
              <w:t>5.741.870,82</w:t>
            </w:r>
          </w:p>
        </w:tc>
        <w:tc>
          <w:tcPr>
            <w:tcW w:w="1860" w:type="dxa"/>
            <w:tcMar>
              <w:top w:w="0" w:type="dxa"/>
              <w:bottom w:w="0" w:type="dxa"/>
            </w:tcMar>
            <w:vAlign w:val="center"/>
          </w:tcPr>
          <w:p w:rsidR="00EC220F" w:rsidRDefault="00D04D62">
            <w:pPr>
              <w:keepNext/>
              <w:keepLines/>
              <w:spacing w:after="0" w:line="240" w:lineRule="auto"/>
              <w:jc w:val="right"/>
            </w:pPr>
            <w:r>
              <w:rPr>
                <w:sz w:val="18"/>
              </w:rPr>
              <w:t>5.908.304,60</w:t>
            </w:r>
          </w:p>
        </w:tc>
        <w:tc>
          <w:tcPr>
            <w:tcW w:w="700" w:type="dxa"/>
            <w:tcMar>
              <w:top w:w="0" w:type="dxa"/>
              <w:bottom w:w="0" w:type="dxa"/>
            </w:tcMar>
            <w:vAlign w:val="center"/>
          </w:tcPr>
          <w:p w:rsidR="00EC220F" w:rsidRDefault="00D04D62">
            <w:pPr>
              <w:keepNext/>
              <w:keepLines/>
              <w:spacing w:after="0" w:line="240" w:lineRule="auto"/>
              <w:jc w:val="right"/>
            </w:pPr>
            <w:r>
              <w:rPr>
                <w:sz w:val="18"/>
              </w:rPr>
              <w:t>102,9</w:t>
            </w:r>
          </w:p>
        </w:tc>
      </w:tr>
    </w:tbl>
    <w:p w:rsidR="00EC220F" w:rsidRDefault="00EC220F">
      <w:pPr>
        <w:spacing w:after="0"/>
      </w:pPr>
    </w:p>
    <w:p w:rsidR="00EC220F" w:rsidRDefault="00D04D62">
      <w:r>
        <w:t>Prihodi od HZZO-a na temelju ugovornih obveza u 2025.g. ostvareni su 2,9 % veći nego u prethodnoj godini, razlog povećanja je povećanje plaća, više ugovorenih timova, većeg limita i sl.</w:t>
      </w:r>
    </w:p>
    <w:p w:rsidR="00EC220F" w:rsidRDefault="00EC220F"/>
    <w:p w:rsidR="00EC220F" w:rsidRDefault="00D04D62">
      <w:pPr>
        <w:keepNext/>
        <w:spacing w:line="240" w:lineRule="auto"/>
        <w:jc w:val="center"/>
      </w:pPr>
      <w:r>
        <w:rPr>
          <w:sz w:val="28"/>
        </w:rPr>
        <w:t>Bilješka 13.</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683</w:t>
            </w:r>
          </w:p>
        </w:tc>
        <w:tc>
          <w:tcPr>
            <w:tcW w:w="3180" w:type="dxa"/>
            <w:tcMar>
              <w:top w:w="0" w:type="dxa"/>
              <w:bottom w:w="0" w:type="dxa"/>
            </w:tcMar>
            <w:vAlign w:val="center"/>
          </w:tcPr>
          <w:p w:rsidR="00EC220F" w:rsidRDefault="00D04D62">
            <w:pPr>
              <w:keepNext/>
              <w:keepLines/>
              <w:spacing w:after="0" w:line="240" w:lineRule="auto"/>
            </w:pPr>
            <w:r>
              <w:rPr>
                <w:sz w:val="18"/>
              </w:rPr>
              <w:t>Ostali prihodi</w:t>
            </w:r>
          </w:p>
        </w:tc>
        <w:tc>
          <w:tcPr>
            <w:tcW w:w="700" w:type="dxa"/>
            <w:tcMar>
              <w:top w:w="0" w:type="dxa"/>
              <w:bottom w:w="0" w:type="dxa"/>
            </w:tcMar>
            <w:vAlign w:val="center"/>
          </w:tcPr>
          <w:p w:rsidR="00EC220F" w:rsidRDefault="00D04D62">
            <w:pPr>
              <w:keepNext/>
              <w:keepLines/>
              <w:spacing w:after="0" w:line="240" w:lineRule="auto"/>
            </w:pPr>
            <w:r>
              <w:rPr>
                <w:sz w:val="18"/>
              </w:rPr>
              <w:t>683</w:t>
            </w:r>
          </w:p>
        </w:tc>
        <w:tc>
          <w:tcPr>
            <w:tcW w:w="1860" w:type="dxa"/>
            <w:tcMar>
              <w:top w:w="0" w:type="dxa"/>
              <w:bottom w:w="0" w:type="dxa"/>
            </w:tcMar>
            <w:vAlign w:val="center"/>
          </w:tcPr>
          <w:p w:rsidR="00EC220F" w:rsidRDefault="00D04D62">
            <w:pPr>
              <w:keepNext/>
              <w:keepLines/>
              <w:spacing w:after="0" w:line="240" w:lineRule="auto"/>
              <w:jc w:val="right"/>
            </w:pPr>
            <w:r>
              <w:rPr>
                <w:sz w:val="18"/>
              </w:rPr>
              <w:t>8.237,66</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700" w:type="dxa"/>
            <w:tcMar>
              <w:top w:w="0" w:type="dxa"/>
              <w:bottom w:w="0" w:type="dxa"/>
            </w:tcMar>
            <w:vAlign w:val="center"/>
          </w:tcPr>
          <w:p w:rsidR="00EC220F" w:rsidRDefault="00D04D62">
            <w:pPr>
              <w:keepNext/>
              <w:keepLines/>
              <w:spacing w:after="0" w:line="240" w:lineRule="auto"/>
              <w:jc w:val="right"/>
            </w:pPr>
            <w:r>
              <w:rPr>
                <w:sz w:val="18"/>
              </w:rPr>
              <w:t>0</w:t>
            </w:r>
          </w:p>
        </w:tc>
      </w:tr>
    </w:tbl>
    <w:p w:rsidR="00EC220F" w:rsidRDefault="00EC220F">
      <w:pPr>
        <w:spacing w:after="0"/>
      </w:pPr>
    </w:p>
    <w:p w:rsidR="00EC220F" w:rsidRDefault="00D04D62">
      <w:r>
        <w:t>Ostali prihodi nisu ostvareni u 2025.g., dok su su 2024.g. ostvareni prihodi u iznosu 8.237,66 eura, sastoje se od prihoda za refundaciju troškova specijalizacije liječnice koja je zaključno s veljačom 2024.g završila s obročnim plaćanjem, te od prihoda te</w:t>
      </w:r>
      <w:r>
        <w:t>meljem sudske nagodbe, koji nisu mogli biti drugdje svrstani.</w:t>
      </w:r>
    </w:p>
    <w:p w:rsidR="00EC220F" w:rsidRDefault="00EC220F"/>
    <w:p w:rsidR="00EC220F" w:rsidRDefault="00D04D62">
      <w:pPr>
        <w:keepNext/>
        <w:spacing w:line="240" w:lineRule="auto"/>
        <w:jc w:val="center"/>
      </w:pPr>
      <w:r>
        <w:rPr>
          <w:sz w:val="28"/>
        </w:rPr>
        <w:t>Bilješka 14.</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w:t>
            </w:r>
          </w:p>
        </w:tc>
        <w:tc>
          <w:tcPr>
            <w:tcW w:w="3180" w:type="dxa"/>
            <w:tcMar>
              <w:top w:w="0" w:type="dxa"/>
              <w:bottom w:w="0" w:type="dxa"/>
            </w:tcMar>
            <w:vAlign w:val="center"/>
          </w:tcPr>
          <w:p w:rsidR="00EC220F" w:rsidRDefault="00D04D62">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rsidR="00EC220F" w:rsidRDefault="00D04D62">
            <w:pPr>
              <w:keepNext/>
              <w:keepLines/>
              <w:spacing w:after="0" w:line="240" w:lineRule="auto"/>
            </w:pPr>
            <w:r>
              <w:rPr>
                <w:sz w:val="18"/>
              </w:rPr>
              <w:t>3</w:t>
            </w:r>
          </w:p>
        </w:tc>
        <w:tc>
          <w:tcPr>
            <w:tcW w:w="1860" w:type="dxa"/>
            <w:tcMar>
              <w:top w:w="0" w:type="dxa"/>
              <w:bottom w:w="0" w:type="dxa"/>
            </w:tcMar>
            <w:vAlign w:val="center"/>
          </w:tcPr>
          <w:p w:rsidR="00EC220F" w:rsidRDefault="00D04D62">
            <w:pPr>
              <w:keepNext/>
              <w:keepLines/>
              <w:spacing w:after="0" w:line="240" w:lineRule="auto"/>
              <w:jc w:val="right"/>
            </w:pPr>
            <w:r>
              <w:rPr>
                <w:sz w:val="18"/>
              </w:rPr>
              <w:t>6.937.719,10</w:t>
            </w:r>
          </w:p>
        </w:tc>
        <w:tc>
          <w:tcPr>
            <w:tcW w:w="1860" w:type="dxa"/>
            <w:tcMar>
              <w:top w:w="0" w:type="dxa"/>
              <w:bottom w:w="0" w:type="dxa"/>
            </w:tcMar>
            <w:vAlign w:val="center"/>
          </w:tcPr>
          <w:p w:rsidR="00EC220F" w:rsidRDefault="00D04D62">
            <w:pPr>
              <w:keepNext/>
              <w:keepLines/>
              <w:spacing w:after="0" w:line="240" w:lineRule="auto"/>
              <w:jc w:val="right"/>
            </w:pPr>
            <w:r>
              <w:rPr>
                <w:sz w:val="18"/>
              </w:rPr>
              <w:t>6.882.122,77</w:t>
            </w:r>
          </w:p>
        </w:tc>
        <w:tc>
          <w:tcPr>
            <w:tcW w:w="700" w:type="dxa"/>
            <w:tcMar>
              <w:top w:w="0" w:type="dxa"/>
              <w:bottom w:w="0" w:type="dxa"/>
            </w:tcMar>
            <w:vAlign w:val="center"/>
          </w:tcPr>
          <w:p w:rsidR="00EC220F" w:rsidRDefault="00D04D62">
            <w:pPr>
              <w:keepNext/>
              <w:keepLines/>
              <w:spacing w:after="0" w:line="240" w:lineRule="auto"/>
              <w:jc w:val="right"/>
            </w:pPr>
            <w:r>
              <w:rPr>
                <w:sz w:val="18"/>
              </w:rPr>
              <w:t>99,2</w:t>
            </w:r>
          </w:p>
        </w:tc>
      </w:tr>
    </w:tbl>
    <w:p w:rsidR="00EC220F" w:rsidRDefault="00EC220F">
      <w:pPr>
        <w:spacing w:after="0"/>
      </w:pPr>
    </w:p>
    <w:p w:rsidR="00EC220F" w:rsidRDefault="00D04D62">
      <w:r>
        <w:t>Ukupni rashodi u 2025. godini ostvareni su za 0,8 % manji od rashoda u 2024. godini, iako su neki rashodi u 2025. godini daleko manji, zbog većih rashoda za plaće rashodi u dvije usporedne godine se ne razlikuju u značajnom postotku.</w:t>
      </w:r>
    </w:p>
    <w:p w:rsidR="00EC220F" w:rsidRDefault="00EC220F"/>
    <w:p w:rsidR="00EC220F" w:rsidRDefault="00D04D62">
      <w:pPr>
        <w:keepNext/>
        <w:spacing w:line="240" w:lineRule="auto"/>
        <w:jc w:val="center"/>
      </w:pPr>
      <w:r>
        <w:rPr>
          <w:sz w:val="28"/>
        </w:rPr>
        <w:lastRenderedPageBreak/>
        <w:t>Bilješka 15.</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w:t>
            </w:r>
            <w:r>
              <w:rPr>
                <w:b/>
                <w:sz w:val="18"/>
              </w:rPr>
              <w:t xml:space="preserve">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311</w:t>
            </w:r>
          </w:p>
        </w:tc>
        <w:tc>
          <w:tcPr>
            <w:tcW w:w="3180" w:type="dxa"/>
            <w:tcMar>
              <w:top w:w="0" w:type="dxa"/>
              <w:bottom w:w="0" w:type="dxa"/>
            </w:tcMar>
            <w:vAlign w:val="center"/>
          </w:tcPr>
          <w:p w:rsidR="00EC220F" w:rsidRDefault="00D04D62">
            <w:pPr>
              <w:keepNext/>
              <w:keepLines/>
              <w:spacing w:after="0" w:line="240" w:lineRule="auto"/>
            </w:pPr>
            <w:r>
              <w:rPr>
                <w:sz w:val="18"/>
              </w:rPr>
              <w:t>Plaće (bruto) (šifre 3111 do 3114)</w:t>
            </w:r>
          </w:p>
        </w:tc>
        <w:tc>
          <w:tcPr>
            <w:tcW w:w="700" w:type="dxa"/>
            <w:tcMar>
              <w:top w:w="0" w:type="dxa"/>
              <w:bottom w:w="0" w:type="dxa"/>
            </w:tcMar>
            <w:vAlign w:val="center"/>
          </w:tcPr>
          <w:p w:rsidR="00EC220F" w:rsidRDefault="00D04D62">
            <w:pPr>
              <w:keepNext/>
              <w:keepLines/>
              <w:spacing w:after="0" w:line="240" w:lineRule="auto"/>
            </w:pPr>
            <w:r>
              <w:rPr>
                <w:sz w:val="18"/>
              </w:rPr>
              <w:t>311</w:t>
            </w:r>
          </w:p>
        </w:tc>
        <w:tc>
          <w:tcPr>
            <w:tcW w:w="1860" w:type="dxa"/>
            <w:tcMar>
              <w:top w:w="0" w:type="dxa"/>
              <w:bottom w:w="0" w:type="dxa"/>
            </w:tcMar>
            <w:vAlign w:val="center"/>
          </w:tcPr>
          <w:p w:rsidR="00EC220F" w:rsidRDefault="00D04D62">
            <w:pPr>
              <w:keepNext/>
              <w:keepLines/>
              <w:spacing w:after="0" w:line="240" w:lineRule="auto"/>
              <w:jc w:val="right"/>
            </w:pPr>
            <w:r>
              <w:rPr>
                <w:sz w:val="18"/>
              </w:rPr>
              <w:t>4.914.367,49</w:t>
            </w:r>
          </w:p>
        </w:tc>
        <w:tc>
          <w:tcPr>
            <w:tcW w:w="1860" w:type="dxa"/>
            <w:tcMar>
              <w:top w:w="0" w:type="dxa"/>
              <w:bottom w:w="0" w:type="dxa"/>
            </w:tcMar>
            <w:vAlign w:val="center"/>
          </w:tcPr>
          <w:p w:rsidR="00EC220F" w:rsidRDefault="00D04D62">
            <w:pPr>
              <w:keepNext/>
              <w:keepLines/>
              <w:spacing w:after="0" w:line="240" w:lineRule="auto"/>
              <w:jc w:val="right"/>
            </w:pPr>
            <w:r>
              <w:rPr>
                <w:sz w:val="18"/>
              </w:rPr>
              <w:t>5.017.905,84</w:t>
            </w:r>
          </w:p>
        </w:tc>
        <w:tc>
          <w:tcPr>
            <w:tcW w:w="700" w:type="dxa"/>
            <w:tcMar>
              <w:top w:w="0" w:type="dxa"/>
              <w:bottom w:w="0" w:type="dxa"/>
            </w:tcMar>
            <w:vAlign w:val="center"/>
          </w:tcPr>
          <w:p w:rsidR="00EC220F" w:rsidRDefault="00D04D62">
            <w:pPr>
              <w:keepNext/>
              <w:keepLines/>
              <w:spacing w:after="0" w:line="240" w:lineRule="auto"/>
              <w:jc w:val="right"/>
            </w:pPr>
            <w:r>
              <w:rPr>
                <w:sz w:val="18"/>
              </w:rPr>
              <w:t>102,1</w:t>
            </w:r>
          </w:p>
        </w:tc>
      </w:tr>
    </w:tbl>
    <w:p w:rsidR="00EC220F" w:rsidRDefault="00EC220F">
      <w:pPr>
        <w:spacing w:after="0"/>
      </w:pPr>
    </w:p>
    <w:p w:rsidR="00EC220F" w:rsidRDefault="00D04D62">
      <w:r>
        <w:t xml:space="preserve">Plaće (bruto) su u 2025. godini veće za 2,1 % od plaća u 2024. godini. Na kontu 3111 bilježimo povećanje od 3,1 % jer su se, temeljem nove uredbe o plaćama u javnim službama, od ožujka 2024.g. plaće povećale promjenom koeficijenata, također povećale su se </w:t>
      </w:r>
      <w:r>
        <w:t>3% u Veljači 2025.g., te 3% od Rujna 2025. godine. Plaće za prekovremeni rad (3,2%) su  smanjene u 2025.g. jer je odlaskom službe sanitetskog prijevoza smanjen broj djelatnika, te potreba za prekovremenim  radom, dok rashodi za plaće za posebne uvjete rada</w:t>
      </w:r>
      <w:r>
        <w:t xml:space="preserve"> nisu ostvareni jer je od rujna 2024.g. prestala isplata Covid dodatka (odluka Vlade RH).</w:t>
      </w:r>
    </w:p>
    <w:p w:rsidR="00EC220F" w:rsidRDefault="00EC220F"/>
    <w:p w:rsidR="00EC220F" w:rsidRDefault="00D04D62">
      <w:pPr>
        <w:keepNext/>
        <w:spacing w:line="240" w:lineRule="auto"/>
        <w:jc w:val="center"/>
      </w:pPr>
      <w:r>
        <w:rPr>
          <w:sz w:val="28"/>
        </w:rPr>
        <w:t>Bilješka 16.</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312</w:t>
            </w:r>
          </w:p>
        </w:tc>
        <w:tc>
          <w:tcPr>
            <w:tcW w:w="3180" w:type="dxa"/>
            <w:tcMar>
              <w:top w:w="0" w:type="dxa"/>
              <w:bottom w:w="0" w:type="dxa"/>
            </w:tcMar>
            <w:vAlign w:val="center"/>
          </w:tcPr>
          <w:p w:rsidR="00EC220F" w:rsidRDefault="00D04D62">
            <w:pPr>
              <w:keepNext/>
              <w:keepLines/>
              <w:spacing w:after="0" w:line="240" w:lineRule="auto"/>
            </w:pPr>
            <w:r>
              <w:rPr>
                <w:sz w:val="18"/>
              </w:rPr>
              <w:t>Ostali rashodi za zaposlene</w:t>
            </w:r>
          </w:p>
        </w:tc>
        <w:tc>
          <w:tcPr>
            <w:tcW w:w="700" w:type="dxa"/>
            <w:tcMar>
              <w:top w:w="0" w:type="dxa"/>
              <w:bottom w:w="0" w:type="dxa"/>
            </w:tcMar>
            <w:vAlign w:val="center"/>
          </w:tcPr>
          <w:p w:rsidR="00EC220F" w:rsidRDefault="00D04D62">
            <w:pPr>
              <w:keepNext/>
              <w:keepLines/>
              <w:spacing w:after="0" w:line="240" w:lineRule="auto"/>
            </w:pPr>
            <w:r>
              <w:rPr>
                <w:sz w:val="18"/>
              </w:rPr>
              <w:t>312</w:t>
            </w:r>
          </w:p>
        </w:tc>
        <w:tc>
          <w:tcPr>
            <w:tcW w:w="1860" w:type="dxa"/>
            <w:tcMar>
              <w:top w:w="0" w:type="dxa"/>
              <w:bottom w:w="0" w:type="dxa"/>
            </w:tcMar>
            <w:vAlign w:val="center"/>
          </w:tcPr>
          <w:p w:rsidR="00EC220F" w:rsidRDefault="00D04D62">
            <w:pPr>
              <w:keepNext/>
              <w:keepLines/>
              <w:spacing w:after="0" w:line="240" w:lineRule="auto"/>
              <w:jc w:val="right"/>
            </w:pPr>
            <w:r>
              <w:rPr>
                <w:sz w:val="18"/>
              </w:rPr>
              <w:t>172.196,66</w:t>
            </w:r>
          </w:p>
        </w:tc>
        <w:tc>
          <w:tcPr>
            <w:tcW w:w="1860" w:type="dxa"/>
            <w:tcMar>
              <w:top w:w="0" w:type="dxa"/>
              <w:bottom w:w="0" w:type="dxa"/>
            </w:tcMar>
            <w:vAlign w:val="center"/>
          </w:tcPr>
          <w:p w:rsidR="00EC220F" w:rsidRDefault="00D04D62">
            <w:pPr>
              <w:keepNext/>
              <w:keepLines/>
              <w:spacing w:after="0" w:line="240" w:lineRule="auto"/>
              <w:jc w:val="right"/>
            </w:pPr>
            <w:r>
              <w:rPr>
                <w:sz w:val="18"/>
              </w:rPr>
              <w:t>168.830,08</w:t>
            </w:r>
          </w:p>
        </w:tc>
        <w:tc>
          <w:tcPr>
            <w:tcW w:w="700" w:type="dxa"/>
            <w:tcMar>
              <w:top w:w="0" w:type="dxa"/>
              <w:bottom w:w="0" w:type="dxa"/>
            </w:tcMar>
            <w:vAlign w:val="center"/>
          </w:tcPr>
          <w:p w:rsidR="00EC220F" w:rsidRDefault="00D04D62">
            <w:pPr>
              <w:keepNext/>
              <w:keepLines/>
              <w:spacing w:after="0" w:line="240" w:lineRule="auto"/>
              <w:jc w:val="right"/>
            </w:pPr>
            <w:r>
              <w:rPr>
                <w:sz w:val="18"/>
              </w:rPr>
              <w:t>98,0</w:t>
            </w:r>
          </w:p>
        </w:tc>
      </w:tr>
    </w:tbl>
    <w:p w:rsidR="00EC220F" w:rsidRDefault="00EC220F">
      <w:pPr>
        <w:spacing w:after="0"/>
      </w:pPr>
    </w:p>
    <w:p w:rsidR="00EC220F" w:rsidRDefault="00D04D62">
      <w:r>
        <w:t>Ostali rashodi za zaposlene u 2025. godini manji su za 2 % od rashoda ostvarenih u istom periodu 2024.g. zbog manje potrebe za isplatom naknade za bolest, invalidnost i smrtni slučaj, te manjeg iznosa božićnice i regresa zbog manjeg broja djelatnika u 2025</w:t>
      </w:r>
      <w:r>
        <w:t>. godini.</w:t>
      </w:r>
    </w:p>
    <w:p w:rsidR="00EC220F" w:rsidRDefault="00EC220F"/>
    <w:p w:rsidR="00EC220F" w:rsidRDefault="00D04D62">
      <w:pPr>
        <w:keepNext/>
        <w:spacing w:line="240" w:lineRule="auto"/>
        <w:jc w:val="center"/>
      </w:pPr>
      <w:r>
        <w:rPr>
          <w:sz w:val="28"/>
        </w:rPr>
        <w:t>Bilješka 17.</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321</w:t>
            </w:r>
          </w:p>
        </w:tc>
        <w:tc>
          <w:tcPr>
            <w:tcW w:w="3180" w:type="dxa"/>
            <w:tcMar>
              <w:top w:w="0" w:type="dxa"/>
              <w:bottom w:w="0" w:type="dxa"/>
            </w:tcMar>
            <w:vAlign w:val="center"/>
          </w:tcPr>
          <w:p w:rsidR="00EC220F" w:rsidRDefault="00D04D62">
            <w:pPr>
              <w:keepNext/>
              <w:keepLines/>
              <w:spacing w:after="0" w:line="240" w:lineRule="auto"/>
            </w:pPr>
            <w:r>
              <w:rPr>
                <w:sz w:val="18"/>
              </w:rPr>
              <w:t>Naknade troškova zaposlenima (šifre 3211 do 3214)</w:t>
            </w:r>
          </w:p>
        </w:tc>
        <w:tc>
          <w:tcPr>
            <w:tcW w:w="700" w:type="dxa"/>
            <w:tcMar>
              <w:top w:w="0" w:type="dxa"/>
              <w:bottom w:w="0" w:type="dxa"/>
            </w:tcMar>
            <w:vAlign w:val="center"/>
          </w:tcPr>
          <w:p w:rsidR="00EC220F" w:rsidRDefault="00D04D62">
            <w:pPr>
              <w:keepNext/>
              <w:keepLines/>
              <w:spacing w:after="0" w:line="240" w:lineRule="auto"/>
            </w:pPr>
            <w:r>
              <w:rPr>
                <w:sz w:val="18"/>
              </w:rPr>
              <w:t>321</w:t>
            </w:r>
          </w:p>
        </w:tc>
        <w:tc>
          <w:tcPr>
            <w:tcW w:w="1860" w:type="dxa"/>
            <w:tcMar>
              <w:top w:w="0" w:type="dxa"/>
              <w:bottom w:w="0" w:type="dxa"/>
            </w:tcMar>
            <w:vAlign w:val="center"/>
          </w:tcPr>
          <w:p w:rsidR="00EC220F" w:rsidRDefault="00D04D62">
            <w:pPr>
              <w:keepNext/>
              <w:keepLines/>
              <w:spacing w:after="0" w:line="240" w:lineRule="auto"/>
              <w:jc w:val="right"/>
            </w:pPr>
            <w:r>
              <w:rPr>
                <w:sz w:val="18"/>
              </w:rPr>
              <w:t>149.250,34</w:t>
            </w:r>
          </w:p>
        </w:tc>
        <w:tc>
          <w:tcPr>
            <w:tcW w:w="1860" w:type="dxa"/>
            <w:tcMar>
              <w:top w:w="0" w:type="dxa"/>
              <w:bottom w:w="0" w:type="dxa"/>
            </w:tcMar>
            <w:vAlign w:val="center"/>
          </w:tcPr>
          <w:p w:rsidR="00EC220F" w:rsidRDefault="00D04D62">
            <w:pPr>
              <w:keepNext/>
              <w:keepLines/>
              <w:spacing w:after="0" w:line="240" w:lineRule="auto"/>
              <w:jc w:val="right"/>
            </w:pPr>
            <w:r>
              <w:rPr>
                <w:sz w:val="18"/>
              </w:rPr>
              <w:t>109.222,05</w:t>
            </w:r>
          </w:p>
        </w:tc>
        <w:tc>
          <w:tcPr>
            <w:tcW w:w="700" w:type="dxa"/>
            <w:tcMar>
              <w:top w:w="0" w:type="dxa"/>
              <w:bottom w:w="0" w:type="dxa"/>
            </w:tcMar>
            <w:vAlign w:val="center"/>
          </w:tcPr>
          <w:p w:rsidR="00EC220F" w:rsidRDefault="00D04D62">
            <w:pPr>
              <w:keepNext/>
              <w:keepLines/>
              <w:spacing w:after="0" w:line="240" w:lineRule="auto"/>
              <w:jc w:val="right"/>
            </w:pPr>
            <w:r>
              <w:rPr>
                <w:sz w:val="18"/>
              </w:rPr>
              <w:t>73,2</w:t>
            </w:r>
          </w:p>
        </w:tc>
      </w:tr>
    </w:tbl>
    <w:p w:rsidR="00EC220F" w:rsidRDefault="00EC220F">
      <w:pPr>
        <w:spacing w:after="0"/>
      </w:pPr>
    </w:p>
    <w:p w:rsidR="00EC220F" w:rsidRDefault="00D04D62">
      <w:r>
        <w:t xml:space="preserve">Naknade troškova zaposlenima – ostvarene su u 2025.g. 26,8 % manje nego u 2024.g. Smanjenje bilježimo na kontima 3211 (službena putovanja) 69 % manji rashodi u 2025.g., te 3212 (naknade za prijevoz, za rad na terenu i odvojeni život) 8,8 % manji rashodi u </w:t>
      </w:r>
      <w:r>
        <w:t>tekućoj godini. Razlog smanjenja je manji broj djelatnika od 01.09.2024.g. jer se služba Sanitetskog prijevoza odvojila od Doma zdravlja, te pripojila Zavodu za hitnu medicinu, a upravo ta služba je ostvarivala najveće rashode za službena putovanja zbog če</w:t>
      </w:r>
      <w:r>
        <w:t>stih prijevoza pacijenata u bolnice u Zagrebu i Splitu. Rashodi za stručno usavršavanje zaposlenika (3213) su veći za 57,1 % u tekućoj godini zbog više kotizacija za sudjelovanje na seminarima, te većeg iznosa za stručne ispite.</w:t>
      </w:r>
    </w:p>
    <w:p w:rsidR="00EC220F" w:rsidRDefault="00EC220F"/>
    <w:p w:rsidR="00EC220F" w:rsidRDefault="00D04D62">
      <w:pPr>
        <w:keepNext/>
        <w:spacing w:line="240" w:lineRule="auto"/>
        <w:jc w:val="center"/>
      </w:pPr>
      <w:r>
        <w:rPr>
          <w:sz w:val="28"/>
        </w:rPr>
        <w:t>Bilješka 18.</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w:t>
            </w:r>
            <w:r>
              <w:rPr>
                <w:b/>
                <w:sz w:val="18"/>
              </w:rPr>
              <w:t xml:space="preserve">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322</w:t>
            </w:r>
          </w:p>
        </w:tc>
        <w:tc>
          <w:tcPr>
            <w:tcW w:w="3180" w:type="dxa"/>
            <w:tcMar>
              <w:top w:w="0" w:type="dxa"/>
              <w:bottom w:w="0" w:type="dxa"/>
            </w:tcMar>
            <w:vAlign w:val="center"/>
          </w:tcPr>
          <w:p w:rsidR="00EC220F" w:rsidRDefault="00D04D62">
            <w:pPr>
              <w:keepNext/>
              <w:keepLines/>
              <w:spacing w:after="0" w:line="240" w:lineRule="auto"/>
            </w:pPr>
            <w:r>
              <w:rPr>
                <w:sz w:val="18"/>
              </w:rPr>
              <w:t>Rashodi za materijal i energiju (šifre 3221 do 3227)</w:t>
            </w:r>
          </w:p>
        </w:tc>
        <w:tc>
          <w:tcPr>
            <w:tcW w:w="700" w:type="dxa"/>
            <w:tcMar>
              <w:top w:w="0" w:type="dxa"/>
              <w:bottom w:w="0" w:type="dxa"/>
            </w:tcMar>
            <w:vAlign w:val="center"/>
          </w:tcPr>
          <w:p w:rsidR="00EC220F" w:rsidRDefault="00D04D62">
            <w:pPr>
              <w:keepNext/>
              <w:keepLines/>
              <w:spacing w:after="0" w:line="240" w:lineRule="auto"/>
            </w:pPr>
            <w:r>
              <w:rPr>
                <w:sz w:val="18"/>
              </w:rPr>
              <w:t>322</w:t>
            </w:r>
          </w:p>
        </w:tc>
        <w:tc>
          <w:tcPr>
            <w:tcW w:w="1860" w:type="dxa"/>
            <w:tcMar>
              <w:top w:w="0" w:type="dxa"/>
              <w:bottom w:w="0" w:type="dxa"/>
            </w:tcMar>
            <w:vAlign w:val="center"/>
          </w:tcPr>
          <w:p w:rsidR="00EC220F" w:rsidRDefault="00D04D62">
            <w:pPr>
              <w:keepNext/>
              <w:keepLines/>
              <w:spacing w:after="0" w:line="240" w:lineRule="auto"/>
              <w:jc w:val="right"/>
            </w:pPr>
            <w:r>
              <w:rPr>
                <w:sz w:val="18"/>
              </w:rPr>
              <w:t>380.777,19</w:t>
            </w:r>
          </w:p>
        </w:tc>
        <w:tc>
          <w:tcPr>
            <w:tcW w:w="1860" w:type="dxa"/>
            <w:tcMar>
              <w:top w:w="0" w:type="dxa"/>
              <w:bottom w:w="0" w:type="dxa"/>
            </w:tcMar>
            <w:vAlign w:val="center"/>
          </w:tcPr>
          <w:p w:rsidR="00EC220F" w:rsidRDefault="00D04D62">
            <w:pPr>
              <w:keepNext/>
              <w:keepLines/>
              <w:spacing w:after="0" w:line="240" w:lineRule="auto"/>
              <w:jc w:val="right"/>
            </w:pPr>
            <w:r>
              <w:rPr>
                <w:sz w:val="18"/>
              </w:rPr>
              <w:t>182.120,18</w:t>
            </w:r>
          </w:p>
        </w:tc>
        <w:tc>
          <w:tcPr>
            <w:tcW w:w="700" w:type="dxa"/>
            <w:tcMar>
              <w:top w:w="0" w:type="dxa"/>
              <w:bottom w:w="0" w:type="dxa"/>
            </w:tcMar>
            <w:vAlign w:val="center"/>
          </w:tcPr>
          <w:p w:rsidR="00EC220F" w:rsidRDefault="00D04D62">
            <w:pPr>
              <w:keepNext/>
              <w:keepLines/>
              <w:spacing w:after="0" w:line="240" w:lineRule="auto"/>
              <w:jc w:val="right"/>
            </w:pPr>
            <w:r>
              <w:rPr>
                <w:sz w:val="18"/>
              </w:rPr>
              <w:t>47,8</w:t>
            </w:r>
          </w:p>
        </w:tc>
      </w:tr>
    </w:tbl>
    <w:p w:rsidR="00EC220F" w:rsidRDefault="00EC220F">
      <w:pPr>
        <w:spacing w:after="0"/>
      </w:pPr>
    </w:p>
    <w:p w:rsidR="00EC220F" w:rsidRDefault="00D04D62">
      <w:r>
        <w:t>Rashodi za materijal i energiju su za 52,2 % manji u 2025. godini nego u 2024.godini, ova vrsta rashoda sastoji se od povećanja rashoda za nabavu uredskog materijala i službene, radne i zaštitne odjeće i obuće, te smanjena rashoda materijala i sirovina, tr</w:t>
      </w:r>
      <w:r>
        <w:t>oškova energije, materijala i dijelova za tekuće i investicijsko održavanje, sitnog inventara i autoguma. Povećanje troškova uredskog materijala (3221) jer rezultat većeg broja ordinacija u 2025.g., jer se tijekom 2024.g. i 2025.g. nekoliko ordinacija iz k</w:t>
      </w:r>
      <w:r>
        <w:t xml:space="preserve">oncesije vratilo pod Dom zdravlja. Na kontu 3222 (materijal i sirovine) nije ostvaren trošak jer se od 01.01.2025.g. troškovi lijekova i medicinskog potrošnog materijala evidentiraju na kontu 325. Rashodi za energiju (3223), materijal i dijelovi za tekuće </w:t>
      </w:r>
      <w:r>
        <w:t>i investicijsko održavanje (3224) i sitni inventar i autogume (3225) su značajno manji usljed odlaska sanitetskog prijevoza čime su se posebno smanjili troškovi goriva i autoguma.</w:t>
      </w:r>
    </w:p>
    <w:p w:rsidR="00EC220F" w:rsidRDefault="00EC220F"/>
    <w:p w:rsidR="00EC220F" w:rsidRDefault="00D04D62">
      <w:pPr>
        <w:keepNext/>
        <w:spacing w:line="240" w:lineRule="auto"/>
        <w:jc w:val="center"/>
      </w:pPr>
      <w:r>
        <w:rPr>
          <w:sz w:val="28"/>
        </w:rPr>
        <w:t>Bilješka 19.</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w:t>
            </w:r>
            <w:r>
              <w:rPr>
                <w:b/>
                <w:sz w:val="18"/>
              </w:rPr>
              <w:t xml:space="preserve">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323</w:t>
            </w:r>
          </w:p>
        </w:tc>
        <w:tc>
          <w:tcPr>
            <w:tcW w:w="3180" w:type="dxa"/>
            <w:tcMar>
              <w:top w:w="0" w:type="dxa"/>
              <w:bottom w:w="0" w:type="dxa"/>
            </w:tcMar>
            <w:vAlign w:val="center"/>
          </w:tcPr>
          <w:p w:rsidR="00EC220F" w:rsidRDefault="00D04D62">
            <w:pPr>
              <w:keepNext/>
              <w:keepLines/>
              <w:spacing w:after="0" w:line="240" w:lineRule="auto"/>
            </w:pPr>
            <w:r>
              <w:rPr>
                <w:sz w:val="18"/>
              </w:rPr>
              <w:t>Rashodi za usluge (šifre 3231 do 3239)</w:t>
            </w:r>
          </w:p>
        </w:tc>
        <w:tc>
          <w:tcPr>
            <w:tcW w:w="700" w:type="dxa"/>
            <w:tcMar>
              <w:top w:w="0" w:type="dxa"/>
              <w:bottom w:w="0" w:type="dxa"/>
            </w:tcMar>
            <w:vAlign w:val="center"/>
          </w:tcPr>
          <w:p w:rsidR="00EC220F" w:rsidRDefault="00D04D62">
            <w:pPr>
              <w:keepNext/>
              <w:keepLines/>
              <w:spacing w:after="0" w:line="240" w:lineRule="auto"/>
            </w:pPr>
            <w:r>
              <w:rPr>
                <w:sz w:val="18"/>
              </w:rPr>
              <w:t>323</w:t>
            </w:r>
          </w:p>
        </w:tc>
        <w:tc>
          <w:tcPr>
            <w:tcW w:w="1860" w:type="dxa"/>
            <w:tcMar>
              <w:top w:w="0" w:type="dxa"/>
              <w:bottom w:w="0" w:type="dxa"/>
            </w:tcMar>
            <w:vAlign w:val="center"/>
          </w:tcPr>
          <w:p w:rsidR="00EC220F" w:rsidRDefault="00D04D62">
            <w:pPr>
              <w:keepNext/>
              <w:keepLines/>
              <w:spacing w:after="0" w:line="240" w:lineRule="auto"/>
              <w:jc w:val="right"/>
            </w:pPr>
            <w:r>
              <w:rPr>
                <w:sz w:val="18"/>
              </w:rPr>
              <w:t>480.316,76</w:t>
            </w:r>
          </w:p>
        </w:tc>
        <w:tc>
          <w:tcPr>
            <w:tcW w:w="1860" w:type="dxa"/>
            <w:tcMar>
              <w:top w:w="0" w:type="dxa"/>
              <w:bottom w:w="0" w:type="dxa"/>
            </w:tcMar>
            <w:vAlign w:val="center"/>
          </w:tcPr>
          <w:p w:rsidR="00EC220F" w:rsidRDefault="00D04D62">
            <w:pPr>
              <w:keepNext/>
              <w:keepLines/>
              <w:spacing w:after="0" w:line="240" w:lineRule="auto"/>
              <w:jc w:val="right"/>
            </w:pPr>
            <w:r>
              <w:rPr>
                <w:sz w:val="18"/>
              </w:rPr>
              <w:t>447.559,76</w:t>
            </w:r>
          </w:p>
        </w:tc>
        <w:tc>
          <w:tcPr>
            <w:tcW w:w="700" w:type="dxa"/>
            <w:tcMar>
              <w:top w:w="0" w:type="dxa"/>
              <w:bottom w:w="0" w:type="dxa"/>
            </w:tcMar>
            <w:vAlign w:val="center"/>
          </w:tcPr>
          <w:p w:rsidR="00EC220F" w:rsidRDefault="00D04D62">
            <w:pPr>
              <w:keepNext/>
              <w:keepLines/>
              <w:spacing w:after="0" w:line="240" w:lineRule="auto"/>
              <w:jc w:val="right"/>
            </w:pPr>
            <w:r>
              <w:rPr>
                <w:sz w:val="18"/>
              </w:rPr>
              <w:t>93,2</w:t>
            </w:r>
          </w:p>
        </w:tc>
      </w:tr>
    </w:tbl>
    <w:p w:rsidR="00EC220F" w:rsidRDefault="00EC220F">
      <w:pPr>
        <w:spacing w:after="0"/>
      </w:pPr>
    </w:p>
    <w:p w:rsidR="00EC220F" w:rsidRDefault="00D04D62">
      <w:r>
        <w:t>Rashodi za usluge u 2025.g. su za 6,8 % manji nego u 2024.g. Najveća povećanja i smanjenja bilježimo na sljedećim kontima: 3231 – Usluge telefona, pošte i prijevoza – u 2025.g. bilježimo smanjenje od 15,2 %, troškovi su manji za troškove službe sanitetskog</w:t>
      </w:r>
      <w:r>
        <w:t xml:space="preserve"> prijevoza koja više nije dio Doma zdravlja. 3232 – Usluge tekućeg i investicijskog održavanja su u 2025.g. manje za 34,9 % u odnosu na isti period 2024.g. Većina rashoda za tekuće i investicijsko održavanje vozila u 2024.g. odnosila se na održavanje vozil</w:t>
      </w:r>
      <w:r>
        <w:t>a sanitetskog prijevoza, čijim odvajanjem od Doma zdravlja se značajno smanjio trošak. 3233 – Usluge promidžbe i informiranja su u izvještajnom razdoblju tekuće godine za 27 % više nego u 2024.g. zbog više objavljenih natječaja za zapošljavanje. 3234 – Kom</w:t>
      </w:r>
      <w:r>
        <w:t>unalne usluge - u 2025.g. bilježimo povećanje troškova za 5,4 %  u odnosu na 2024.g. zbog povećanja cijene usluge odvoza smeća kao i infektivnog otpada, te zbog povećanja iznosa pričuve. 3235 - zakupnine i najamnine su u 2025. godini veće za 8,3 % zbog već</w:t>
      </w:r>
      <w:r>
        <w:t>eg broja stanova za koje se plaća najam, ali i izbog povećanja iznosa najamnine za neke od stanova koji su od ranije u najmu. 3236 – Zdravstvene i veterinarske usluge su u 2025.g. veće za 33,3 % u odnosu na 2024.g., trošak je veći za usluge zubotehničkog l</w:t>
      </w:r>
      <w:r>
        <w:t xml:space="preserve">aboratorija, naime zbog odlaska jedne kolegice u mirovinu došlo je do potrebe za laboratorijskim uslugama privatne prakse, također </w:t>
      </w:r>
      <w:r>
        <w:lastRenderedPageBreak/>
        <w:t>u tekućoj godini sklopljen je ugovor o poslovnoj suradnji za službu palijativne skrbi, te doktorica ispostavlja račun za pruž</w:t>
      </w:r>
      <w:r>
        <w:t>ene medicinske usluge. 3237 – Intelektualne i osobne usluge bilježe smanjenje troškova za 1,4 % u 2025.g., zbog toga što je raskinut jedan ugovor o djelu. 3238 – Računalne usluge, trošak računalnih usluga je u 2025.g. veći za 14,2 % zbog povećanja iznosa u</w:t>
      </w:r>
      <w:r>
        <w:t>govora pojedinih informatičkih kuća, te zbog većeg broja ordinacija. 3239 – Ostale usluge trošak je za 40,9 % veći u 2025.g. u odnosu na 2024.g. zbog novog ugovora za prefakturirane troškove od kojih se jedan dio troškova knjiži na 3239.</w:t>
      </w:r>
    </w:p>
    <w:p w:rsidR="00EC220F" w:rsidRDefault="00EC220F"/>
    <w:p w:rsidR="00EC220F" w:rsidRDefault="00D04D62">
      <w:pPr>
        <w:keepNext/>
        <w:spacing w:line="240" w:lineRule="auto"/>
        <w:jc w:val="center"/>
      </w:pPr>
      <w:r>
        <w:rPr>
          <w:sz w:val="28"/>
        </w:rPr>
        <w:t>Bilješka 20.</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w:t>
            </w:r>
            <w:r>
              <w:rPr>
                <w:b/>
                <w:sz w:val="18"/>
              </w:rPr>
              <w:t>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324</w:t>
            </w:r>
          </w:p>
        </w:tc>
        <w:tc>
          <w:tcPr>
            <w:tcW w:w="3180" w:type="dxa"/>
            <w:tcMar>
              <w:top w:w="0" w:type="dxa"/>
              <w:bottom w:w="0" w:type="dxa"/>
            </w:tcMar>
            <w:vAlign w:val="center"/>
          </w:tcPr>
          <w:p w:rsidR="00EC220F" w:rsidRDefault="00D04D62">
            <w:pPr>
              <w:keepNext/>
              <w:keepLines/>
              <w:spacing w:after="0" w:line="240" w:lineRule="auto"/>
            </w:pPr>
            <w:r>
              <w:rPr>
                <w:sz w:val="18"/>
              </w:rPr>
              <w:t>Naknade troškova osobama izvan radnog odnosa</w:t>
            </w:r>
          </w:p>
        </w:tc>
        <w:tc>
          <w:tcPr>
            <w:tcW w:w="700" w:type="dxa"/>
            <w:tcMar>
              <w:top w:w="0" w:type="dxa"/>
              <w:bottom w:w="0" w:type="dxa"/>
            </w:tcMar>
            <w:vAlign w:val="center"/>
          </w:tcPr>
          <w:p w:rsidR="00EC220F" w:rsidRDefault="00D04D62">
            <w:pPr>
              <w:keepNext/>
              <w:keepLines/>
              <w:spacing w:after="0" w:line="240" w:lineRule="auto"/>
            </w:pPr>
            <w:r>
              <w:rPr>
                <w:sz w:val="18"/>
              </w:rPr>
              <w:t>324</w:t>
            </w:r>
          </w:p>
        </w:tc>
        <w:tc>
          <w:tcPr>
            <w:tcW w:w="1860" w:type="dxa"/>
            <w:tcMar>
              <w:top w:w="0" w:type="dxa"/>
              <w:bottom w:w="0" w:type="dxa"/>
            </w:tcMar>
            <w:vAlign w:val="center"/>
          </w:tcPr>
          <w:p w:rsidR="00EC220F" w:rsidRDefault="00D04D62">
            <w:pPr>
              <w:keepNext/>
              <w:keepLines/>
              <w:spacing w:after="0" w:line="240" w:lineRule="auto"/>
              <w:jc w:val="right"/>
            </w:pPr>
            <w:r>
              <w:rPr>
                <w:sz w:val="18"/>
              </w:rPr>
              <w:t>264,96</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700" w:type="dxa"/>
            <w:tcMar>
              <w:top w:w="0" w:type="dxa"/>
              <w:bottom w:w="0" w:type="dxa"/>
            </w:tcMar>
            <w:vAlign w:val="center"/>
          </w:tcPr>
          <w:p w:rsidR="00EC220F" w:rsidRDefault="00D04D62">
            <w:pPr>
              <w:keepNext/>
              <w:keepLines/>
              <w:spacing w:after="0" w:line="240" w:lineRule="auto"/>
              <w:jc w:val="right"/>
            </w:pPr>
            <w:r>
              <w:rPr>
                <w:sz w:val="18"/>
              </w:rPr>
              <w:t>0</w:t>
            </w:r>
          </w:p>
        </w:tc>
      </w:tr>
    </w:tbl>
    <w:p w:rsidR="00EC220F" w:rsidRDefault="00EC220F">
      <w:pPr>
        <w:spacing w:after="0"/>
      </w:pPr>
    </w:p>
    <w:p w:rsidR="00EC220F" w:rsidRDefault="00D04D62">
      <w:r>
        <w:t>Naknade troškova osobama izvan radnog odnosa u 2024.g. ostvarene su u iznosu 264,96 Eur, odnose se na troškove kotizacije i prijevoza osobe s kojom je sklopljen ugovor o djelu. Ova vrsta troška nije ostvarena u istom izvještajnom razdoblju tekuće godine.</w:t>
      </w:r>
    </w:p>
    <w:p w:rsidR="00EC220F" w:rsidRDefault="00EC220F"/>
    <w:p w:rsidR="00EC220F" w:rsidRDefault="00D04D62">
      <w:pPr>
        <w:keepNext/>
        <w:spacing w:line="240" w:lineRule="auto"/>
        <w:jc w:val="center"/>
      </w:pPr>
      <w:r>
        <w:rPr>
          <w:sz w:val="28"/>
        </w:rPr>
        <w:t>Bilješka 21.</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325</w:t>
            </w:r>
          </w:p>
        </w:tc>
        <w:tc>
          <w:tcPr>
            <w:tcW w:w="3180" w:type="dxa"/>
            <w:tcMar>
              <w:top w:w="0" w:type="dxa"/>
              <w:bottom w:w="0" w:type="dxa"/>
            </w:tcMar>
            <w:vAlign w:val="center"/>
          </w:tcPr>
          <w:p w:rsidR="00EC220F" w:rsidRDefault="00D04D62">
            <w:pPr>
              <w:keepNext/>
              <w:keepLines/>
              <w:spacing w:after="0" w:line="240" w:lineRule="auto"/>
            </w:pPr>
            <w:r>
              <w:rPr>
                <w:sz w:val="18"/>
              </w:rPr>
              <w:t xml:space="preserve">Rashodi lijekova i potrošnog medicinskog materijala kod zdravstvenih ustanova (šifre </w:t>
            </w:r>
            <w:r>
              <w:rPr>
                <w:sz w:val="18"/>
              </w:rPr>
              <w:t>3251 do 3254)</w:t>
            </w:r>
          </w:p>
        </w:tc>
        <w:tc>
          <w:tcPr>
            <w:tcW w:w="700" w:type="dxa"/>
            <w:tcMar>
              <w:top w:w="0" w:type="dxa"/>
              <w:bottom w:w="0" w:type="dxa"/>
            </w:tcMar>
            <w:vAlign w:val="center"/>
          </w:tcPr>
          <w:p w:rsidR="00EC220F" w:rsidRDefault="00D04D62">
            <w:pPr>
              <w:keepNext/>
              <w:keepLines/>
              <w:spacing w:after="0" w:line="240" w:lineRule="auto"/>
            </w:pPr>
            <w:r>
              <w:rPr>
                <w:sz w:val="18"/>
              </w:rPr>
              <w:t>325</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120.164,90</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Rashodi lijekova i potrošnog medicinskog materijala kod zdravstvenih ustanova – rashodi nisu ostvareni u 2024.g. jer je ovo novi konto koji se primjenjuje od 01.01.2025.g., dok su ranije troškovi knjiženi na kontu 322. Rashodi lijekova i medicinskog potroš</w:t>
      </w:r>
      <w:r>
        <w:t>nog materijala, uspoređujući konta 3222 i 3251, su za 1,29 % manji u 2025.g.</w:t>
      </w:r>
    </w:p>
    <w:p w:rsidR="00EC220F" w:rsidRDefault="00EC220F"/>
    <w:p w:rsidR="00EC220F" w:rsidRDefault="00D04D62">
      <w:pPr>
        <w:keepNext/>
        <w:spacing w:line="240" w:lineRule="auto"/>
        <w:jc w:val="center"/>
      </w:pPr>
      <w:r>
        <w:rPr>
          <w:sz w:val="28"/>
        </w:rPr>
        <w:t>Bilješka 22.</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329</w:t>
            </w:r>
          </w:p>
        </w:tc>
        <w:tc>
          <w:tcPr>
            <w:tcW w:w="3180" w:type="dxa"/>
            <w:tcMar>
              <w:top w:w="0" w:type="dxa"/>
              <w:bottom w:w="0" w:type="dxa"/>
            </w:tcMar>
            <w:vAlign w:val="center"/>
          </w:tcPr>
          <w:p w:rsidR="00EC220F" w:rsidRDefault="00D04D62">
            <w:pPr>
              <w:keepNext/>
              <w:keepLines/>
              <w:spacing w:after="0" w:line="240" w:lineRule="auto"/>
            </w:pPr>
            <w:r>
              <w:rPr>
                <w:sz w:val="18"/>
              </w:rPr>
              <w:t xml:space="preserve">Ostali </w:t>
            </w:r>
            <w:r>
              <w:rPr>
                <w:sz w:val="18"/>
              </w:rPr>
              <w:t>nespomenuti rashodi poslovanja (šifre 3291 do 3299)</w:t>
            </w:r>
          </w:p>
        </w:tc>
        <w:tc>
          <w:tcPr>
            <w:tcW w:w="700" w:type="dxa"/>
            <w:tcMar>
              <w:top w:w="0" w:type="dxa"/>
              <w:bottom w:w="0" w:type="dxa"/>
            </w:tcMar>
            <w:vAlign w:val="center"/>
          </w:tcPr>
          <w:p w:rsidR="00EC220F" w:rsidRDefault="00D04D62">
            <w:pPr>
              <w:keepNext/>
              <w:keepLines/>
              <w:spacing w:after="0" w:line="240" w:lineRule="auto"/>
            </w:pPr>
            <w:r>
              <w:rPr>
                <w:sz w:val="18"/>
              </w:rPr>
              <w:t>329</w:t>
            </w:r>
          </w:p>
        </w:tc>
        <w:tc>
          <w:tcPr>
            <w:tcW w:w="1860" w:type="dxa"/>
            <w:tcMar>
              <w:top w:w="0" w:type="dxa"/>
              <w:bottom w:w="0" w:type="dxa"/>
            </w:tcMar>
            <w:vAlign w:val="center"/>
          </w:tcPr>
          <w:p w:rsidR="00EC220F" w:rsidRDefault="00D04D62">
            <w:pPr>
              <w:keepNext/>
              <w:keepLines/>
              <w:spacing w:after="0" w:line="240" w:lineRule="auto"/>
              <w:jc w:val="right"/>
            </w:pPr>
            <w:r>
              <w:rPr>
                <w:sz w:val="18"/>
              </w:rPr>
              <w:t>69.961,36</w:t>
            </w:r>
          </w:p>
        </w:tc>
        <w:tc>
          <w:tcPr>
            <w:tcW w:w="1860" w:type="dxa"/>
            <w:tcMar>
              <w:top w:w="0" w:type="dxa"/>
              <w:bottom w:w="0" w:type="dxa"/>
            </w:tcMar>
            <w:vAlign w:val="center"/>
          </w:tcPr>
          <w:p w:rsidR="00EC220F" w:rsidRDefault="00D04D62">
            <w:pPr>
              <w:keepNext/>
              <w:keepLines/>
              <w:spacing w:after="0" w:line="240" w:lineRule="auto"/>
              <w:jc w:val="right"/>
            </w:pPr>
            <w:r>
              <w:rPr>
                <w:sz w:val="18"/>
              </w:rPr>
              <w:t>41.008,80</w:t>
            </w:r>
          </w:p>
        </w:tc>
        <w:tc>
          <w:tcPr>
            <w:tcW w:w="700" w:type="dxa"/>
            <w:tcMar>
              <w:top w:w="0" w:type="dxa"/>
              <w:bottom w:w="0" w:type="dxa"/>
            </w:tcMar>
            <w:vAlign w:val="center"/>
          </w:tcPr>
          <w:p w:rsidR="00EC220F" w:rsidRDefault="00D04D62">
            <w:pPr>
              <w:keepNext/>
              <w:keepLines/>
              <w:spacing w:after="0" w:line="240" w:lineRule="auto"/>
              <w:jc w:val="right"/>
            </w:pPr>
            <w:r>
              <w:rPr>
                <w:sz w:val="18"/>
              </w:rPr>
              <w:t>58,6</w:t>
            </w:r>
          </w:p>
        </w:tc>
      </w:tr>
    </w:tbl>
    <w:p w:rsidR="00EC220F" w:rsidRDefault="00EC220F">
      <w:pPr>
        <w:spacing w:after="0"/>
      </w:pPr>
    </w:p>
    <w:p w:rsidR="00EC220F" w:rsidRDefault="00D04D62">
      <w:r>
        <w:t>Ostali nespomenuti rashodi poslovanja u 2025.g. manji su za 41,4 % u odnosu na 2024.g. Troškovi naknade za rad predstavničkih i izvršnih tijela (3291) su manji za 13,5 % u 2025.g., jer od rujna 2024.g. upravno vijeće ima jednog člana manje, jer je odlaskom</w:t>
      </w:r>
      <w:r>
        <w:t xml:space="preserve"> službe </w:t>
      </w:r>
      <w:r>
        <w:lastRenderedPageBreak/>
        <w:t xml:space="preserve">sanitetskog prijevoza pošla djelatnica koja je bila član upravnog vijeća, a nitko novi nije izabran na njeno mjesto. Premije osiguranja (3292) su manje za 33 % jer je manji broj vozila osiguran u 2025.g. zbog odvajanja službe sanitetskog prijevoza </w:t>
      </w:r>
      <w:r>
        <w:t>od Doma zdravlja. Trošak reprezentacije je manji za 30,8 % u 2025.g., jer su u 2024. godini bila 2 troška domjenka, dok je u 2025.g. bio jedan takav trošak. Trošak pristojbi i naknada (3295) manji za 62,5 % jer u 2025.g. Dom zdravlja Dubrovnik zapošljava d</w:t>
      </w:r>
      <w:r>
        <w:t>ovoljan broj invalida u odnosu na broj zaposlenih, te nije potrebno plaćati naknadu za nezapošljavanje invalida, te zbog manjeg iznosa HRT pristojbe jer je manji broj vozila. Ostali nespomenuti rashodi poslovanja manji su za 79,5 % u 2025.g., jer je u 2024</w:t>
      </w:r>
      <w:r>
        <w:t>.g. ostvaren trošak iznosa PDV-a iz otpisanog potraživanja zbog otpisa dijela duga temeljem sudske nagodbe, te zbog isplate nadoknade sredstava drugom Domu zdravlja zbog prelaska jedne liječnice u Dom zdravlja Dubrovnik, dok takvih troškova nema u 2025.g.</w:t>
      </w:r>
    </w:p>
    <w:p w:rsidR="00EC220F" w:rsidRDefault="00EC220F"/>
    <w:p w:rsidR="00EC220F" w:rsidRDefault="00D04D62">
      <w:pPr>
        <w:keepNext/>
        <w:spacing w:line="240" w:lineRule="auto"/>
        <w:jc w:val="center"/>
      </w:pPr>
      <w:r>
        <w:rPr>
          <w:sz w:val="28"/>
        </w:rPr>
        <w:t>Bilješka 23.</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343</w:t>
            </w:r>
          </w:p>
        </w:tc>
        <w:tc>
          <w:tcPr>
            <w:tcW w:w="3180" w:type="dxa"/>
            <w:tcMar>
              <w:top w:w="0" w:type="dxa"/>
              <w:bottom w:w="0" w:type="dxa"/>
            </w:tcMar>
            <w:vAlign w:val="center"/>
          </w:tcPr>
          <w:p w:rsidR="00EC220F" w:rsidRDefault="00D04D62">
            <w:pPr>
              <w:keepNext/>
              <w:keepLines/>
              <w:spacing w:after="0" w:line="240" w:lineRule="auto"/>
            </w:pPr>
            <w:r>
              <w:rPr>
                <w:sz w:val="18"/>
              </w:rPr>
              <w:t>Ostali financijski rashodi (šifre 3431 do 3434)</w:t>
            </w:r>
          </w:p>
        </w:tc>
        <w:tc>
          <w:tcPr>
            <w:tcW w:w="700" w:type="dxa"/>
            <w:tcMar>
              <w:top w:w="0" w:type="dxa"/>
              <w:bottom w:w="0" w:type="dxa"/>
            </w:tcMar>
            <w:vAlign w:val="center"/>
          </w:tcPr>
          <w:p w:rsidR="00EC220F" w:rsidRDefault="00D04D62">
            <w:pPr>
              <w:keepNext/>
              <w:keepLines/>
              <w:spacing w:after="0" w:line="240" w:lineRule="auto"/>
            </w:pPr>
            <w:r>
              <w:rPr>
                <w:sz w:val="18"/>
              </w:rPr>
              <w:t>343</w:t>
            </w:r>
          </w:p>
        </w:tc>
        <w:tc>
          <w:tcPr>
            <w:tcW w:w="1860" w:type="dxa"/>
            <w:tcMar>
              <w:top w:w="0" w:type="dxa"/>
              <w:bottom w:w="0" w:type="dxa"/>
            </w:tcMar>
            <w:vAlign w:val="center"/>
          </w:tcPr>
          <w:p w:rsidR="00EC220F" w:rsidRDefault="00D04D62">
            <w:pPr>
              <w:keepNext/>
              <w:keepLines/>
              <w:spacing w:after="0" w:line="240" w:lineRule="auto"/>
              <w:jc w:val="right"/>
            </w:pPr>
            <w:r>
              <w:rPr>
                <w:sz w:val="18"/>
              </w:rPr>
              <w:t>6.960,25</w:t>
            </w:r>
          </w:p>
        </w:tc>
        <w:tc>
          <w:tcPr>
            <w:tcW w:w="1860" w:type="dxa"/>
            <w:tcMar>
              <w:top w:w="0" w:type="dxa"/>
              <w:bottom w:w="0" w:type="dxa"/>
            </w:tcMar>
            <w:vAlign w:val="center"/>
          </w:tcPr>
          <w:p w:rsidR="00EC220F" w:rsidRDefault="00D04D62">
            <w:pPr>
              <w:keepNext/>
              <w:keepLines/>
              <w:spacing w:after="0" w:line="240" w:lineRule="auto"/>
              <w:jc w:val="right"/>
            </w:pPr>
            <w:r>
              <w:rPr>
                <w:sz w:val="18"/>
              </w:rPr>
              <w:t>6.617,83</w:t>
            </w:r>
          </w:p>
        </w:tc>
        <w:tc>
          <w:tcPr>
            <w:tcW w:w="700" w:type="dxa"/>
            <w:tcMar>
              <w:top w:w="0" w:type="dxa"/>
              <w:bottom w:w="0" w:type="dxa"/>
            </w:tcMar>
            <w:vAlign w:val="center"/>
          </w:tcPr>
          <w:p w:rsidR="00EC220F" w:rsidRDefault="00D04D62">
            <w:pPr>
              <w:keepNext/>
              <w:keepLines/>
              <w:spacing w:after="0" w:line="240" w:lineRule="auto"/>
              <w:jc w:val="right"/>
            </w:pPr>
            <w:r>
              <w:rPr>
                <w:sz w:val="18"/>
              </w:rPr>
              <w:t>95,1</w:t>
            </w:r>
          </w:p>
        </w:tc>
      </w:tr>
    </w:tbl>
    <w:p w:rsidR="00EC220F" w:rsidRDefault="00EC220F">
      <w:pPr>
        <w:spacing w:after="0"/>
      </w:pPr>
    </w:p>
    <w:p w:rsidR="00EC220F" w:rsidRDefault="00D04D62">
      <w:r>
        <w:t>Iako se povećao iznos naknade za bankarske usluge, ostali financijski rashodi su za 4,9 % manji u 2025. godini jer je trošak zateznih kamata manji nego u istom izvještajnom razdoblju prethodne godine jer se manje kasni s plaćanjem dospjelih obveza.</w:t>
      </w:r>
    </w:p>
    <w:p w:rsidR="00EC220F" w:rsidRDefault="00EC220F"/>
    <w:p w:rsidR="00EC220F" w:rsidRDefault="00D04D62">
      <w:pPr>
        <w:keepNext/>
        <w:spacing w:line="240" w:lineRule="auto"/>
        <w:jc w:val="center"/>
      </w:pPr>
      <w:r>
        <w:rPr>
          <w:sz w:val="28"/>
        </w:rPr>
        <w:t>Bilješ</w:t>
      </w:r>
      <w:r>
        <w:rPr>
          <w:sz w:val="28"/>
        </w:rPr>
        <w:t>ka 24.</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72</w:t>
            </w:r>
          </w:p>
        </w:tc>
        <w:tc>
          <w:tcPr>
            <w:tcW w:w="3180" w:type="dxa"/>
            <w:tcMar>
              <w:top w:w="0" w:type="dxa"/>
              <w:bottom w:w="0" w:type="dxa"/>
            </w:tcMar>
            <w:vAlign w:val="center"/>
          </w:tcPr>
          <w:p w:rsidR="00EC220F" w:rsidRDefault="00D04D62">
            <w:pPr>
              <w:keepNext/>
              <w:keepLines/>
              <w:spacing w:after="0" w:line="240" w:lineRule="auto"/>
            </w:pPr>
            <w:r>
              <w:rPr>
                <w:sz w:val="18"/>
              </w:rPr>
              <w:t>Prihodi od prodaje proizvedene dugotrajne imovine (šifre 721+722+723+724+725+726)</w:t>
            </w:r>
          </w:p>
        </w:tc>
        <w:tc>
          <w:tcPr>
            <w:tcW w:w="700" w:type="dxa"/>
            <w:tcMar>
              <w:top w:w="0" w:type="dxa"/>
              <w:bottom w:w="0" w:type="dxa"/>
            </w:tcMar>
            <w:vAlign w:val="center"/>
          </w:tcPr>
          <w:p w:rsidR="00EC220F" w:rsidRDefault="00D04D62">
            <w:pPr>
              <w:keepNext/>
              <w:keepLines/>
              <w:spacing w:after="0" w:line="240" w:lineRule="auto"/>
            </w:pPr>
            <w:r>
              <w:rPr>
                <w:sz w:val="18"/>
              </w:rPr>
              <w:t>72</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877,40</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Prihodi od prodaje proizvedene dugotrajne imovine u 2024.g. nisu ostvareni, dok je u 2025.g. ostvaren prihod za prodaju vozila kao staro željezo, te za prodaju stare, neupotrebljive medicinske opreme.</w:t>
      </w:r>
    </w:p>
    <w:p w:rsidR="00EC220F" w:rsidRDefault="00EC220F"/>
    <w:p w:rsidR="00EC220F" w:rsidRDefault="00D04D62">
      <w:pPr>
        <w:keepNext/>
        <w:spacing w:line="240" w:lineRule="auto"/>
        <w:jc w:val="center"/>
      </w:pPr>
      <w:r>
        <w:rPr>
          <w:sz w:val="28"/>
        </w:rPr>
        <w:lastRenderedPageBreak/>
        <w:t>Bilješka 25.</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 xml:space="preserve">Opis </w:t>
            </w:r>
            <w:r>
              <w:rPr>
                <w:b/>
                <w:sz w:val="18"/>
              </w:rPr>
              <w:t>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w:t>
            </w:r>
          </w:p>
        </w:tc>
        <w:tc>
          <w:tcPr>
            <w:tcW w:w="3180" w:type="dxa"/>
            <w:tcMar>
              <w:top w:w="0" w:type="dxa"/>
              <w:bottom w:w="0" w:type="dxa"/>
            </w:tcMar>
            <w:vAlign w:val="center"/>
          </w:tcPr>
          <w:p w:rsidR="00EC220F" w:rsidRDefault="00D04D62">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EC220F" w:rsidRDefault="00D04D62">
            <w:pPr>
              <w:keepNext/>
              <w:keepLines/>
              <w:spacing w:after="0" w:line="240" w:lineRule="auto"/>
            </w:pPr>
            <w:r>
              <w:rPr>
                <w:sz w:val="18"/>
              </w:rPr>
              <w:t>4</w:t>
            </w:r>
          </w:p>
        </w:tc>
        <w:tc>
          <w:tcPr>
            <w:tcW w:w="1860" w:type="dxa"/>
            <w:tcMar>
              <w:top w:w="0" w:type="dxa"/>
              <w:bottom w:w="0" w:type="dxa"/>
            </w:tcMar>
            <w:vAlign w:val="center"/>
          </w:tcPr>
          <w:p w:rsidR="00EC220F" w:rsidRDefault="00D04D62">
            <w:pPr>
              <w:keepNext/>
              <w:keepLines/>
              <w:spacing w:after="0" w:line="240" w:lineRule="auto"/>
              <w:jc w:val="right"/>
            </w:pPr>
            <w:r>
              <w:rPr>
                <w:sz w:val="18"/>
              </w:rPr>
              <w:t>170.297,27</w:t>
            </w:r>
          </w:p>
        </w:tc>
        <w:tc>
          <w:tcPr>
            <w:tcW w:w="1860" w:type="dxa"/>
            <w:tcMar>
              <w:top w:w="0" w:type="dxa"/>
              <w:bottom w:w="0" w:type="dxa"/>
            </w:tcMar>
            <w:vAlign w:val="center"/>
          </w:tcPr>
          <w:p w:rsidR="00EC220F" w:rsidRDefault="00D04D62">
            <w:pPr>
              <w:keepNext/>
              <w:keepLines/>
              <w:spacing w:after="0" w:line="240" w:lineRule="auto"/>
              <w:jc w:val="right"/>
            </w:pPr>
            <w:r>
              <w:rPr>
                <w:sz w:val="18"/>
              </w:rPr>
              <w:t>222.831,99</w:t>
            </w:r>
          </w:p>
        </w:tc>
        <w:tc>
          <w:tcPr>
            <w:tcW w:w="700" w:type="dxa"/>
            <w:tcMar>
              <w:top w:w="0" w:type="dxa"/>
              <w:bottom w:w="0" w:type="dxa"/>
            </w:tcMar>
            <w:vAlign w:val="center"/>
          </w:tcPr>
          <w:p w:rsidR="00EC220F" w:rsidRDefault="00D04D62">
            <w:pPr>
              <w:keepNext/>
              <w:keepLines/>
              <w:spacing w:after="0" w:line="240" w:lineRule="auto"/>
              <w:jc w:val="right"/>
            </w:pPr>
            <w:r>
              <w:rPr>
                <w:sz w:val="18"/>
              </w:rPr>
              <w:t>130,8</w:t>
            </w:r>
          </w:p>
        </w:tc>
      </w:tr>
    </w:tbl>
    <w:p w:rsidR="00EC220F" w:rsidRDefault="00EC220F">
      <w:pPr>
        <w:spacing w:after="0"/>
      </w:pPr>
    </w:p>
    <w:p w:rsidR="00EC220F" w:rsidRDefault="00D04D62">
      <w:r>
        <w:t>Rashodi za nabavu nefinancijske imovine – u 2025.g. veći su za 30,8 % u odnosu na 2024. godinu, što je rezultat većih potreba za zamjenom stare opreme novom, te zbog većeg iznosa dodatnih ulaganja u građevinske objekte.</w:t>
      </w:r>
    </w:p>
    <w:p w:rsidR="00EC220F" w:rsidRDefault="00EC220F"/>
    <w:p w:rsidR="00EC220F" w:rsidRDefault="00D04D62">
      <w:pPr>
        <w:keepNext/>
        <w:spacing w:line="240" w:lineRule="auto"/>
        <w:jc w:val="center"/>
      </w:pPr>
      <w:r>
        <w:rPr>
          <w:sz w:val="28"/>
        </w:rPr>
        <w:t>Bilješka 26.</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w:t>
            </w:r>
            <w:r>
              <w:rPr>
                <w:b/>
                <w:sz w:val="18"/>
              </w:rPr>
              <w:t>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4221</w:t>
            </w:r>
          </w:p>
        </w:tc>
        <w:tc>
          <w:tcPr>
            <w:tcW w:w="3180" w:type="dxa"/>
            <w:tcMar>
              <w:top w:w="0" w:type="dxa"/>
              <w:bottom w:w="0" w:type="dxa"/>
            </w:tcMar>
            <w:vAlign w:val="center"/>
          </w:tcPr>
          <w:p w:rsidR="00EC220F" w:rsidRDefault="00D04D62">
            <w:pPr>
              <w:keepNext/>
              <w:keepLines/>
              <w:spacing w:after="0" w:line="240" w:lineRule="auto"/>
            </w:pPr>
            <w:r>
              <w:rPr>
                <w:sz w:val="18"/>
              </w:rPr>
              <w:t>Uredska oprema i namještaj</w:t>
            </w:r>
          </w:p>
        </w:tc>
        <w:tc>
          <w:tcPr>
            <w:tcW w:w="700" w:type="dxa"/>
            <w:tcMar>
              <w:top w:w="0" w:type="dxa"/>
              <w:bottom w:w="0" w:type="dxa"/>
            </w:tcMar>
            <w:vAlign w:val="center"/>
          </w:tcPr>
          <w:p w:rsidR="00EC220F" w:rsidRDefault="00D04D62">
            <w:pPr>
              <w:keepNext/>
              <w:keepLines/>
              <w:spacing w:after="0" w:line="240" w:lineRule="auto"/>
            </w:pPr>
            <w:r>
              <w:rPr>
                <w:sz w:val="18"/>
              </w:rPr>
              <w:t>4221</w:t>
            </w:r>
          </w:p>
        </w:tc>
        <w:tc>
          <w:tcPr>
            <w:tcW w:w="1860" w:type="dxa"/>
            <w:tcMar>
              <w:top w:w="0" w:type="dxa"/>
              <w:bottom w:w="0" w:type="dxa"/>
            </w:tcMar>
            <w:vAlign w:val="center"/>
          </w:tcPr>
          <w:p w:rsidR="00EC220F" w:rsidRDefault="00D04D62">
            <w:pPr>
              <w:keepNext/>
              <w:keepLines/>
              <w:spacing w:after="0" w:line="240" w:lineRule="auto"/>
              <w:jc w:val="right"/>
            </w:pPr>
            <w:r>
              <w:rPr>
                <w:sz w:val="18"/>
              </w:rPr>
              <w:t>18.345,83</w:t>
            </w:r>
          </w:p>
        </w:tc>
        <w:tc>
          <w:tcPr>
            <w:tcW w:w="1860" w:type="dxa"/>
            <w:tcMar>
              <w:top w:w="0" w:type="dxa"/>
              <w:bottom w:w="0" w:type="dxa"/>
            </w:tcMar>
            <w:vAlign w:val="center"/>
          </w:tcPr>
          <w:p w:rsidR="00EC220F" w:rsidRDefault="00D04D62">
            <w:pPr>
              <w:keepNext/>
              <w:keepLines/>
              <w:spacing w:after="0" w:line="240" w:lineRule="auto"/>
              <w:jc w:val="right"/>
            </w:pPr>
            <w:r>
              <w:rPr>
                <w:sz w:val="18"/>
              </w:rPr>
              <w:t>12.252,07</w:t>
            </w:r>
          </w:p>
        </w:tc>
        <w:tc>
          <w:tcPr>
            <w:tcW w:w="700" w:type="dxa"/>
            <w:tcMar>
              <w:top w:w="0" w:type="dxa"/>
              <w:bottom w:w="0" w:type="dxa"/>
            </w:tcMar>
            <w:vAlign w:val="center"/>
          </w:tcPr>
          <w:p w:rsidR="00EC220F" w:rsidRDefault="00D04D62">
            <w:pPr>
              <w:keepNext/>
              <w:keepLines/>
              <w:spacing w:after="0" w:line="240" w:lineRule="auto"/>
              <w:jc w:val="right"/>
            </w:pPr>
            <w:r>
              <w:rPr>
                <w:sz w:val="18"/>
              </w:rPr>
              <w:t>66,8</w:t>
            </w:r>
          </w:p>
        </w:tc>
      </w:tr>
    </w:tbl>
    <w:p w:rsidR="00EC220F" w:rsidRDefault="00EC220F">
      <w:pPr>
        <w:spacing w:after="0"/>
      </w:pPr>
    </w:p>
    <w:p w:rsidR="00EC220F" w:rsidRDefault="00D04D62">
      <w:r>
        <w:t>Uredska oprema i namještaj – u 2025.g. troškovi su manji za 33,2 % nego u 2024.g., iako je u 2025. godini nabavljeno više računalne opreme, nabavljeno je manje uredske opreme jer nije bilo većih uređenja prostora, dok je u 2024. godini zamijenjen namještaj</w:t>
      </w:r>
      <w:r>
        <w:t xml:space="preserve"> u ambulanti Slano.</w:t>
      </w:r>
    </w:p>
    <w:p w:rsidR="00EC220F" w:rsidRDefault="00EC220F"/>
    <w:p w:rsidR="00EC220F" w:rsidRDefault="00D04D62">
      <w:pPr>
        <w:keepNext/>
        <w:spacing w:line="240" w:lineRule="auto"/>
        <w:jc w:val="center"/>
      </w:pPr>
      <w:r>
        <w:rPr>
          <w:sz w:val="28"/>
        </w:rPr>
        <w:t>Bilješka 27.</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4223</w:t>
            </w:r>
          </w:p>
        </w:tc>
        <w:tc>
          <w:tcPr>
            <w:tcW w:w="3180" w:type="dxa"/>
            <w:tcMar>
              <w:top w:w="0" w:type="dxa"/>
              <w:bottom w:w="0" w:type="dxa"/>
            </w:tcMar>
            <w:vAlign w:val="center"/>
          </w:tcPr>
          <w:p w:rsidR="00EC220F" w:rsidRDefault="00D04D62">
            <w:pPr>
              <w:keepNext/>
              <w:keepLines/>
              <w:spacing w:after="0" w:line="240" w:lineRule="auto"/>
            </w:pPr>
            <w:r>
              <w:rPr>
                <w:sz w:val="18"/>
              </w:rPr>
              <w:t>Oprema za održavanje i zaštitu</w:t>
            </w:r>
          </w:p>
        </w:tc>
        <w:tc>
          <w:tcPr>
            <w:tcW w:w="700" w:type="dxa"/>
            <w:tcMar>
              <w:top w:w="0" w:type="dxa"/>
              <w:bottom w:w="0" w:type="dxa"/>
            </w:tcMar>
            <w:vAlign w:val="center"/>
          </w:tcPr>
          <w:p w:rsidR="00EC220F" w:rsidRDefault="00D04D62">
            <w:pPr>
              <w:keepNext/>
              <w:keepLines/>
              <w:spacing w:after="0" w:line="240" w:lineRule="auto"/>
            </w:pPr>
            <w:r>
              <w:rPr>
                <w:sz w:val="18"/>
              </w:rPr>
              <w:t>4223</w:t>
            </w:r>
          </w:p>
        </w:tc>
        <w:tc>
          <w:tcPr>
            <w:tcW w:w="1860" w:type="dxa"/>
            <w:tcMar>
              <w:top w:w="0" w:type="dxa"/>
              <w:bottom w:w="0" w:type="dxa"/>
            </w:tcMar>
            <w:vAlign w:val="center"/>
          </w:tcPr>
          <w:p w:rsidR="00EC220F" w:rsidRDefault="00D04D62">
            <w:pPr>
              <w:keepNext/>
              <w:keepLines/>
              <w:spacing w:after="0" w:line="240" w:lineRule="auto"/>
              <w:jc w:val="right"/>
            </w:pPr>
            <w:r>
              <w:rPr>
                <w:sz w:val="18"/>
              </w:rPr>
              <w:t>9.362,50</w:t>
            </w:r>
          </w:p>
        </w:tc>
        <w:tc>
          <w:tcPr>
            <w:tcW w:w="1860" w:type="dxa"/>
            <w:tcMar>
              <w:top w:w="0" w:type="dxa"/>
              <w:bottom w:w="0" w:type="dxa"/>
            </w:tcMar>
            <w:vAlign w:val="center"/>
          </w:tcPr>
          <w:p w:rsidR="00EC220F" w:rsidRDefault="00D04D62">
            <w:pPr>
              <w:keepNext/>
              <w:keepLines/>
              <w:spacing w:after="0" w:line="240" w:lineRule="auto"/>
              <w:jc w:val="right"/>
            </w:pPr>
            <w:r>
              <w:rPr>
                <w:sz w:val="18"/>
              </w:rPr>
              <w:t>29.822,50</w:t>
            </w:r>
          </w:p>
        </w:tc>
        <w:tc>
          <w:tcPr>
            <w:tcW w:w="700" w:type="dxa"/>
            <w:tcMar>
              <w:top w:w="0" w:type="dxa"/>
              <w:bottom w:w="0" w:type="dxa"/>
            </w:tcMar>
            <w:vAlign w:val="center"/>
          </w:tcPr>
          <w:p w:rsidR="00EC220F" w:rsidRDefault="00D04D62">
            <w:pPr>
              <w:keepNext/>
              <w:keepLines/>
              <w:spacing w:after="0" w:line="240" w:lineRule="auto"/>
              <w:jc w:val="right"/>
            </w:pPr>
            <w:r>
              <w:rPr>
                <w:sz w:val="18"/>
              </w:rPr>
              <w:t>318,5</w:t>
            </w:r>
          </w:p>
        </w:tc>
      </w:tr>
    </w:tbl>
    <w:p w:rsidR="00EC220F" w:rsidRDefault="00EC220F">
      <w:pPr>
        <w:spacing w:after="0"/>
      </w:pPr>
    </w:p>
    <w:p w:rsidR="00EC220F" w:rsidRDefault="00D04D62">
      <w:r>
        <w:t xml:space="preserve">Iznos troška opreme za održavanje i zaštitu u 2025. godini veći je za 218,5 % u odnosu na 2024. godinu jer je u 2025. godini nabavljeno puno više klima uređaja na izdvojenim lokacijama Doma zdravlja Dubrovnik, te je postavljen novi video nadzorni sustav u </w:t>
      </w:r>
      <w:r>
        <w:t>ambulanti Cavtat.</w:t>
      </w:r>
    </w:p>
    <w:p w:rsidR="00EC220F" w:rsidRDefault="00EC220F"/>
    <w:p w:rsidR="00EC220F" w:rsidRDefault="00D04D62">
      <w:pPr>
        <w:keepNext/>
        <w:spacing w:line="240" w:lineRule="auto"/>
        <w:jc w:val="center"/>
      </w:pPr>
      <w:r>
        <w:rPr>
          <w:sz w:val="28"/>
        </w:rPr>
        <w:t>Bilješka 28.</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4225</w:t>
            </w:r>
          </w:p>
        </w:tc>
        <w:tc>
          <w:tcPr>
            <w:tcW w:w="3180" w:type="dxa"/>
            <w:tcMar>
              <w:top w:w="0" w:type="dxa"/>
              <w:bottom w:w="0" w:type="dxa"/>
            </w:tcMar>
            <w:vAlign w:val="center"/>
          </w:tcPr>
          <w:p w:rsidR="00EC220F" w:rsidRDefault="00D04D62">
            <w:pPr>
              <w:keepNext/>
              <w:keepLines/>
              <w:spacing w:after="0" w:line="240" w:lineRule="auto"/>
            </w:pPr>
            <w:r>
              <w:rPr>
                <w:sz w:val="18"/>
              </w:rPr>
              <w:t>Instrumenti i uređaji</w:t>
            </w:r>
          </w:p>
        </w:tc>
        <w:tc>
          <w:tcPr>
            <w:tcW w:w="700" w:type="dxa"/>
            <w:tcMar>
              <w:top w:w="0" w:type="dxa"/>
              <w:bottom w:w="0" w:type="dxa"/>
            </w:tcMar>
            <w:vAlign w:val="center"/>
          </w:tcPr>
          <w:p w:rsidR="00EC220F" w:rsidRDefault="00D04D62">
            <w:pPr>
              <w:keepNext/>
              <w:keepLines/>
              <w:spacing w:after="0" w:line="240" w:lineRule="auto"/>
            </w:pPr>
            <w:r>
              <w:rPr>
                <w:sz w:val="18"/>
              </w:rPr>
              <w:t>4225</w:t>
            </w:r>
          </w:p>
        </w:tc>
        <w:tc>
          <w:tcPr>
            <w:tcW w:w="1860" w:type="dxa"/>
            <w:tcMar>
              <w:top w:w="0" w:type="dxa"/>
              <w:bottom w:w="0" w:type="dxa"/>
            </w:tcMar>
            <w:vAlign w:val="center"/>
          </w:tcPr>
          <w:p w:rsidR="00EC220F" w:rsidRDefault="00D04D62">
            <w:pPr>
              <w:keepNext/>
              <w:keepLines/>
              <w:spacing w:after="0" w:line="240" w:lineRule="auto"/>
              <w:jc w:val="right"/>
            </w:pPr>
            <w:r>
              <w:rPr>
                <w:sz w:val="18"/>
              </w:rPr>
              <w:t>127,50</w:t>
            </w:r>
          </w:p>
        </w:tc>
        <w:tc>
          <w:tcPr>
            <w:tcW w:w="1860" w:type="dxa"/>
            <w:tcMar>
              <w:top w:w="0" w:type="dxa"/>
              <w:bottom w:w="0" w:type="dxa"/>
            </w:tcMar>
            <w:vAlign w:val="center"/>
          </w:tcPr>
          <w:p w:rsidR="00EC220F" w:rsidRDefault="00D04D62">
            <w:pPr>
              <w:keepNext/>
              <w:keepLines/>
              <w:spacing w:after="0" w:line="240" w:lineRule="auto"/>
              <w:jc w:val="right"/>
            </w:pPr>
            <w:r>
              <w:rPr>
                <w:sz w:val="18"/>
              </w:rPr>
              <w:t>2.284,32</w:t>
            </w:r>
          </w:p>
        </w:tc>
        <w:tc>
          <w:tcPr>
            <w:tcW w:w="700" w:type="dxa"/>
            <w:tcMar>
              <w:top w:w="0" w:type="dxa"/>
              <w:bottom w:w="0" w:type="dxa"/>
            </w:tcMar>
            <w:vAlign w:val="center"/>
          </w:tcPr>
          <w:p w:rsidR="00EC220F" w:rsidRDefault="00D04D62">
            <w:pPr>
              <w:keepNext/>
              <w:keepLines/>
              <w:spacing w:after="0" w:line="240" w:lineRule="auto"/>
              <w:jc w:val="right"/>
            </w:pPr>
            <w:r>
              <w:rPr>
                <w:sz w:val="18"/>
              </w:rPr>
              <w:t>1791,6</w:t>
            </w:r>
          </w:p>
        </w:tc>
      </w:tr>
    </w:tbl>
    <w:p w:rsidR="00EC220F" w:rsidRDefault="00EC220F">
      <w:pPr>
        <w:spacing w:after="0"/>
      </w:pPr>
    </w:p>
    <w:p w:rsidR="00EC220F" w:rsidRDefault="00D04D62">
      <w:r>
        <w:lastRenderedPageBreak/>
        <w:t>Iznos troška nabave instrumenata i uređaja je u 2025. godini veći za 2.156,82 eura zbog veće potrebe za zamjenom starih vaga novima.</w:t>
      </w:r>
    </w:p>
    <w:p w:rsidR="00EC220F" w:rsidRDefault="00EC220F"/>
    <w:p w:rsidR="00EC220F" w:rsidRDefault="00D04D62">
      <w:pPr>
        <w:keepNext/>
        <w:spacing w:line="240" w:lineRule="auto"/>
        <w:jc w:val="center"/>
      </w:pPr>
      <w:r>
        <w:rPr>
          <w:sz w:val="28"/>
        </w:rPr>
        <w:t>Bilješka 29.</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w:t>
            </w:r>
            <w:r>
              <w:rPr>
                <w:b/>
                <w:sz w:val="18"/>
              </w:rPr>
              <w: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4227</w:t>
            </w:r>
          </w:p>
        </w:tc>
        <w:tc>
          <w:tcPr>
            <w:tcW w:w="3180" w:type="dxa"/>
            <w:tcMar>
              <w:top w:w="0" w:type="dxa"/>
              <w:bottom w:w="0" w:type="dxa"/>
            </w:tcMar>
            <w:vAlign w:val="center"/>
          </w:tcPr>
          <w:p w:rsidR="00EC220F" w:rsidRDefault="00D04D62">
            <w:pPr>
              <w:keepNext/>
              <w:keepLines/>
              <w:spacing w:after="0" w:line="240" w:lineRule="auto"/>
            </w:pPr>
            <w:r>
              <w:rPr>
                <w:sz w:val="18"/>
              </w:rPr>
              <w:t>Uređaji, strojevi i oprema za ostale namjene</w:t>
            </w:r>
          </w:p>
        </w:tc>
        <w:tc>
          <w:tcPr>
            <w:tcW w:w="700" w:type="dxa"/>
            <w:tcMar>
              <w:top w:w="0" w:type="dxa"/>
              <w:bottom w:w="0" w:type="dxa"/>
            </w:tcMar>
            <w:vAlign w:val="center"/>
          </w:tcPr>
          <w:p w:rsidR="00EC220F" w:rsidRDefault="00D04D62">
            <w:pPr>
              <w:keepNext/>
              <w:keepLines/>
              <w:spacing w:after="0" w:line="240" w:lineRule="auto"/>
            </w:pPr>
            <w:r>
              <w:rPr>
                <w:sz w:val="18"/>
              </w:rPr>
              <w:t>4227</w:t>
            </w:r>
          </w:p>
        </w:tc>
        <w:tc>
          <w:tcPr>
            <w:tcW w:w="1860" w:type="dxa"/>
            <w:tcMar>
              <w:top w:w="0" w:type="dxa"/>
              <w:bottom w:w="0" w:type="dxa"/>
            </w:tcMar>
            <w:vAlign w:val="center"/>
          </w:tcPr>
          <w:p w:rsidR="00EC220F" w:rsidRDefault="00D04D62">
            <w:pPr>
              <w:keepNext/>
              <w:keepLines/>
              <w:spacing w:after="0" w:line="240" w:lineRule="auto"/>
              <w:jc w:val="right"/>
            </w:pPr>
            <w:r>
              <w:rPr>
                <w:sz w:val="18"/>
              </w:rPr>
              <w:t>359,00</w:t>
            </w:r>
          </w:p>
        </w:tc>
        <w:tc>
          <w:tcPr>
            <w:tcW w:w="1860" w:type="dxa"/>
            <w:tcMar>
              <w:top w:w="0" w:type="dxa"/>
              <w:bottom w:w="0" w:type="dxa"/>
            </w:tcMar>
            <w:vAlign w:val="center"/>
          </w:tcPr>
          <w:p w:rsidR="00EC220F" w:rsidRDefault="00D04D62">
            <w:pPr>
              <w:keepNext/>
              <w:keepLines/>
              <w:spacing w:after="0" w:line="240" w:lineRule="auto"/>
              <w:jc w:val="right"/>
            </w:pPr>
            <w:r>
              <w:rPr>
                <w:sz w:val="18"/>
              </w:rPr>
              <w:t>35.148,99</w:t>
            </w:r>
          </w:p>
        </w:tc>
        <w:tc>
          <w:tcPr>
            <w:tcW w:w="700" w:type="dxa"/>
            <w:tcMar>
              <w:top w:w="0" w:type="dxa"/>
              <w:bottom w:w="0" w:type="dxa"/>
            </w:tcMar>
            <w:vAlign w:val="center"/>
          </w:tcPr>
          <w:p w:rsidR="00EC220F" w:rsidRDefault="00D04D62">
            <w:pPr>
              <w:keepNext/>
              <w:keepLines/>
              <w:spacing w:after="0" w:line="240" w:lineRule="auto"/>
              <w:jc w:val="right"/>
            </w:pPr>
            <w:r>
              <w:rPr>
                <w:sz w:val="18"/>
              </w:rPr>
              <w:t>9790,8</w:t>
            </w:r>
          </w:p>
        </w:tc>
      </w:tr>
    </w:tbl>
    <w:p w:rsidR="00EC220F" w:rsidRDefault="00EC220F">
      <w:pPr>
        <w:spacing w:after="0"/>
      </w:pPr>
    </w:p>
    <w:p w:rsidR="00EC220F" w:rsidRDefault="00D04D62">
      <w:r>
        <w:t>U 2025. godini nabavljen je agregat za glavnu zgradu Doma zdravlja, dok takva vrsta nabave nije ostvarena u 2024. godini.</w:t>
      </w:r>
    </w:p>
    <w:p w:rsidR="00EC220F" w:rsidRDefault="00EC220F"/>
    <w:p w:rsidR="00EC220F" w:rsidRDefault="00D04D62">
      <w:pPr>
        <w:keepNext/>
        <w:spacing w:line="240" w:lineRule="auto"/>
        <w:jc w:val="center"/>
      </w:pPr>
      <w:r>
        <w:rPr>
          <w:sz w:val="28"/>
        </w:rPr>
        <w:t>Bilješka 30.</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451</w:t>
            </w:r>
          </w:p>
        </w:tc>
        <w:tc>
          <w:tcPr>
            <w:tcW w:w="3180" w:type="dxa"/>
            <w:tcMar>
              <w:top w:w="0" w:type="dxa"/>
              <w:bottom w:w="0" w:type="dxa"/>
            </w:tcMar>
            <w:vAlign w:val="center"/>
          </w:tcPr>
          <w:p w:rsidR="00EC220F" w:rsidRDefault="00D04D62">
            <w:pPr>
              <w:keepNext/>
              <w:keepLines/>
              <w:spacing w:after="0" w:line="240" w:lineRule="auto"/>
            </w:pPr>
            <w:r>
              <w:rPr>
                <w:sz w:val="18"/>
              </w:rPr>
              <w:t>Dodatna ulaganja na građevinskim objektima</w:t>
            </w:r>
          </w:p>
        </w:tc>
        <w:tc>
          <w:tcPr>
            <w:tcW w:w="700" w:type="dxa"/>
            <w:tcMar>
              <w:top w:w="0" w:type="dxa"/>
              <w:bottom w:w="0" w:type="dxa"/>
            </w:tcMar>
            <w:vAlign w:val="center"/>
          </w:tcPr>
          <w:p w:rsidR="00EC220F" w:rsidRDefault="00D04D62">
            <w:pPr>
              <w:keepNext/>
              <w:keepLines/>
              <w:spacing w:after="0" w:line="240" w:lineRule="auto"/>
            </w:pPr>
            <w:r>
              <w:rPr>
                <w:sz w:val="18"/>
              </w:rPr>
              <w:t>451</w:t>
            </w:r>
          </w:p>
        </w:tc>
        <w:tc>
          <w:tcPr>
            <w:tcW w:w="1860" w:type="dxa"/>
            <w:tcMar>
              <w:top w:w="0" w:type="dxa"/>
              <w:bottom w:w="0" w:type="dxa"/>
            </w:tcMar>
            <w:vAlign w:val="center"/>
          </w:tcPr>
          <w:p w:rsidR="00EC220F" w:rsidRDefault="00D04D62">
            <w:pPr>
              <w:keepNext/>
              <w:keepLines/>
              <w:spacing w:after="0" w:line="240" w:lineRule="auto"/>
              <w:jc w:val="right"/>
            </w:pPr>
            <w:r>
              <w:rPr>
                <w:sz w:val="18"/>
              </w:rPr>
              <w:t>42.902,50</w:t>
            </w:r>
          </w:p>
        </w:tc>
        <w:tc>
          <w:tcPr>
            <w:tcW w:w="1860" w:type="dxa"/>
            <w:tcMar>
              <w:top w:w="0" w:type="dxa"/>
              <w:bottom w:w="0" w:type="dxa"/>
            </w:tcMar>
            <w:vAlign w:val="center"/>
          </w:tcPr>
          <w:p w:rsidR="00EC220F" w:rsidRDefault="00D04D62">
            <w:pPr>
              <w:keepNext/>
              <w:keepLines/>
              <w:spacing w:after="0" w:line="240" w:lineRule="auto"/>
              <w:jc w:val="right"/>
            </w:pPr>
            <w:r>
              <w:rPr>
                <w:sz w:val="18"/>
              </w:rPr>
              <w:t>67.892,00</w:t>
            </w:r>
          </w:p>
        </w:tc>
        <w:tc>
          <w:tcPr>
            <w:tcW w:w="700" w:type="dxa"/>
            <w:tcMar>
              <w:top w:w="0" w:type="dxa"/>
              <w:bottom w:w="0" w:type="dxa"/>
            </w:tcMar>
            <w:vAlign w:val="center"/>
          </w:tcPr>
          <w:p w:rsidR="00EC220F" w:rsidRDefault="00D04D62">
            <w:pPr>
              <w:keepNext/>
              <w:keepLines/>
              <w:spacing w:after="0" w:line="240" w:lineRule="auto"/>
              <w:jc w:val="right"/>
            </w:pPr>
            <w:r>
              <w:rPr>
                <w:sz w:val="18"/>
              </w:rPr>
              <w:t>158,2</w:t>
            </w:r>
          </w:p>
        </w:tc>
      </w:tr>
    </w:tbl>
    <w:p w:rsidR="00EC220F" w:rsidRDefault="00EC220F">
      <w:pPr>
        <w:spacing w:after="0"/>
      </w:pPr>
    </w:p>
    <w:p w:rsidR="00EC220F" w:rsidRDefault="00D04D62">
      <w:r>
        <w:t>Dodatna ulaganja na građevinskim objektima u 2025. godini su veća za 58,2 % u odnosu na 2024. godinu zbog zamjene cirkulacijske pumpe novom, zamjene većeg broja otvora na ambulanti na Lopudu, te zbog izgradnje potpornog zida ambulante na Pločama.</w:t>
      </w:r>
    </w:p>
    <w:p w:rsidR="00EC220F" w:rsidRDefault="00EC220F"/>
    <w:p w:rsidR="00EC220F" w:rsidRDefault="00D04D62">
      <w:pPr>
        <w:keepNext/>
        <w:spacing w:line="240" w:lineRule="auto"/>
        <w:jc w:val="center"/>
      </w:pPr>
      <w:r>
        <w:rPr>
          <w:b/>
          <w:sz w:val="28"/>
        </w:rPr>
        <w:t>Bilanca</w:t>
      </w:r>
    </w:p>
    <w:p w:rsidR="00EC220F" w:rsidRDefault="00D04D62">
      <w:pPr>
        <w:keepNext/>
        <w:spacing w:line="240" w:lineRule="auto"/>
        <w:jc w:val="center"/>
      </w:pPr>
      <w:r>
        <w:rPr>
          <w:sz w:val="28"/>
        </w:rPr>
        <w:t>Bilješka 31.</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sz w:val="18"/>
              </w:rPr>
              <w:t>IMOVINA (šifre B002+1)</w:t>
            </w:r>
          </w:p>
        </w:tc>
        <w:tc>
          <w:tcPr>
            <w:tcW w:w="700" w:type="dxa"/>
            <w:tcMar>
              <w:top w:w="0" w:type="dxa"/>
              <w:bottom w:w="0" w:type="dxa"/>
            </w:tcMar>
            <w:vAlign w:val="center"/>
          </w:tcPr>
          <w:p w:rsidR="00EC220F" w:rsidRDefault="00D04D62">
            <w:pPr>
              <w:keepNext/>
              <w:keepLines/>
              <w:spacing w:after="0" w:line="240" w:lineRule="auto"/>
            </w:pPr>
            <w:r>
              <w:rPr>
                <w:sz w:val="18"/>
              </w:rPr>
              <w:t>B001</w:t>
            </w:r>
          </w:p>
        </w:tc>
        <w:tc>
          <w:tcPr>
            <w:tcW w:w="1860" w:type="dxa"/>
            <w:tcMar>
              <w:top w:w="0" w:type="dxa"/>
              <w:bottom w:w="0" w:type="dxa"/>
            </w:tcMar>
            <w:vAlign w:val="center"/>
          </w:tcPr>
          <w:p w:rsidR="00EC220F" w:rsidRDefault="00D04D62">
            <w:pPr>
              <w:keepNext/>
              <w:keepLines/>
              <w:spacing w:after="0" w:line="240" w:lineRule="auto"/>
              <w:jc w:val="right"/>
            </w:pPr>
            <w:r>
              <w:rPr>
                <w:sz w:val="18"/>
              </w:rPr>
              <w:t>5.167.521,31</w:t>
            </w:r>
          </w:p>
        </w:tc>
        <w:tc>
          <w:tcPr>
            <w:tcW w:w="1860" w:type="dxa"/>
            <w:tcMar>
              <w:top w:w="0" w:type="dxa"/>
              <w:bottom w:w="0" w:type="dxa"/>
            </w:tcMar>
            <w:vAlign w:val="center"/>
          </w:tcPr>
          <w:p w:rsidR="00EC220F" w:rsidRDefault="00D04D62">
            <w:pPr>
              <w:keepNext/>
              <w:keepLines/>
              <w:spacing w:after="0" w:line="240" w:lineRule="auto"/>
              <w:jc w:val="right"/>
            </w:pPr>
            <w:r>
              <w:rPr>
                <w:sz w:val="18"/>
              </w:rPr>
              <w:t>5.073.963,45</w:t>
            </w:r>
          </w:p>
        </w:tc>
        <w:tc>
          <w:tcPr>
            <w:tcW w:w="700" w:type="dxa"/>
            <w:tcMar>
              <w:top w:w="0" w:type="dxa"/>
              <w:bottom w:w="0" w:type="dxa"/>
            </w:tcMar>
            <w:vAlign w:val="center"/>
          </w:tcPr>
          <w:p w:rsidR="00EC220F" w:rsidRDefault="00D04D62">
            <w:pPr>
              <w:keepNext/>
              <w:keepLines/>
              <w:spacing w:after="0" w:line="240" w:lineRule="auto"/>
              <w:jc w:val="right"/>
            </w:pPr>
            <w:r>
              <w:rPr>
                <w:sz w:val="18"/>
              </w:rPr>
              <w:t>98,2</w:t>
            </w:r>
          </w:p>
        </w:tc>
      </w:tr>
    </w:tbl>
    <w:p w:rsidR="00EC220F" w:rsidRDefault="00EC220F">
      <w:pPr>
        <w:spacing w:after="0"/>
      </w:pPr>
    </w:p>
    <w:p w:rsidR="00EC220F" w:rsidRDefault="00D04D62">
      <w:r>
        <w:t>Na ukupnoj imovini šifra B001 nema značajnih odstupanja (indeks 98,2) u 2025.g. u odnosu na 2024.g.</w:t>
      </w:r>
    </w:p>
    <w:p w:rsidR="00EC220F" w:rsidRDefault="00EC220F"/>
    <w:p w:rsidR="00EC220F" w:rsidRDefault="00D04D62">
      <w:pPr>
        <w:keepNext/>
        <w:spacing w:line="240" w:lineRule="auto"/>
        <w:jc w:val="center"/>
      </w:pPr>
      <w:r>
        <w:rPr>
          <w:sz w:val="28"/>
        </w:rPr>
        <w:lastRenderedPageBreak/>
        <w:t>Bilješka 32.</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0</w:t>
            </w:r>
          </w:p>
        </w:tc>
        <w:tc>
          <w:tcPr>
            <w:tcW w:w="3180" w:type="dxa"/>
            <w:tcMar>
              <w:top w:w="0" w:type="dxa"/>
              <w:bottom w:w="0" w:type="dxa"/>
            </w:tcMar>
            <w:vAlign w:val="center"/>
          </w:tcPr>
          <w:p w:rsidR="00EC220F" w:rsidRDefault="00D04D62">
            <w:pPr>
              <w:keepNext/>
              <w:keepLines/>
              <w:spacing w:after="0" w:line="240" w:lineRule="auto"/>
            </w:pPr>
            <w:r>
              <w:rPr>
                <w:sz w:val="18"/>
              </w:rPr>
              <w:t>Nefinancijska imovina (šifre 01+02+03+04+05+06)</w:t>
            </w:r>
          </w:p>
        </w:tc>
        <w:tc>
          <w:tcPr>
            <w:tcW w:w="700" w:type="dxa"/>
            <w:tcMar>
              <w:top w:w="0" w:type="dxa"/>
              <w:bottom w:w="0" w:type="dxa"/>
            </w:tcMar>
            <w:vAlign w:val="center"/>
          </w:tcPr>
          <w:p w:rsidR="00EC220F" w:rsidRDefault="00D04D62">
            <w:pPr>
              <w:keepNext/>
              <w:keepLines/>
              <w:spacing w:after="0" w:line="240" w:lineRule="auto"/>
            </w:pPr>
            <w:r>
              <w:rPr>
                <w:sz w:val="18"/>
              </w:rPr>
              <w:t>B002</w:t>
            </w:r>
          </w:p>
        </w:tc>
        <w:tc>
          <w:tcPr>
            <w:tcW w:w="1860" w:type="dxa"/>
            <w:tcMar>
              <w:top w:w="0" w:type="dxa"/>
              <w:bottom w:w="0" w:type="dxa"/>
            </w:tcMar>
            <w:vAlign w:val="center"/>
          </w:tcPr>
          <w:p w:rsidR="00EC220F" w:rsidRDefault="00D04D62">
            <w:pPr>
              <w:keepNext/>
              <w:keepLines/>
              <w:spacing w:after="0" w:line="240" w:lineRule="auto"/>
              <w:jc w:val="right"/>
            </w:pPr>
            <w:r>
              <w:rPr>
                <w:sz w:val="18"/>
              </w:rPr>
              <w:t>4.527.893,48</w:t>
            </w:r>
          </w:p>
        </w:tc>
        <w:tc>
          <w:tcPr>
            <w:tcW w:w="1860" w:type="dxa"/>
            <w:tcMar>
              <w:top w:w="0" w:type="dxa"/>
              <w:bottom w:w="0" w:type="dxa"/>
            </w:tcMar>
            <w:vAlign w:val="center"/>
          </w:tcPr>
          <w:p w:rsidR="00EC220F" w:rsidRDefault="00D04D62">
            <w:pPr>
              <w:keepNext/>
              <w:keepLines/>
              <w:spacing w:after="0" w:line="240" w:lineRule="auto"/>
              <w:jc w:val="right"/>
            </w:pPr>
            <w:r>
              <w:rPr>
                <w:sz w:val="18"/>
              </w:rPr>
              <w:t>4.575.515,12</w:t>
            </w:r>
          </w:p>
        </w:tc>
        <w:tc>
          <w:tcPr>
            <w:tcW w:w="700" w:type="dxa"/>
            <w:tcMar>
              <w:top w:w="0" w:type="dxa"/>
              <w:bottom w:w="0" w:type="dxa"/>
            </w:tcMar>
            <w:vAlign w:val="center"/>
          </w:tcPr>
          <w:p w:rsidR="00EC220F" w:rsidRDefault="00D04D62">
            <w:pPr>
              <w:keepNext/>
              <w:keepLines/>
              <w:spacing w:after="0" w:line="240" w:lineRule="auto"/>
              <w:jc w:val="right"/>
            </w:pPr>
            <w:r>
              <w:rPr>
                <w:sz w:val="18"/>
              </w:rPr>
              <w:t>101,1</w:t>
            </w:r>
          </w:p>
        </w:tc>
      </w:tr>
    </w:tbl>
    <w:p w:rsidR="00EC220F" w:rsidRDefault="00EC220F">
      <w:pPr>
        <w:spacing w:after="0"/>
      </w:pPr>
    </w:p>
    <w:p w:rsidR="00EC220F" w:rsidRDefault="00D04D62">
      <w:r>
        <w:t>Nefinancijska imovina je za 1,1 % veća u 2025. godini, najveća povećanja pojedinačno bilježimo na sljedećim šiframa:</w:t>
      </w:r>
    </w:p>
    <w:p w:rsidR="00EC220F" w:rsidRDefault="00D04D62">
      <w:r>
        <w:t>Šifra 0223 Oprema za održavanje i zaštitu je za 28,5 % viša u 2025.g. nego u 2024., zbog zanavljanja</w:t>
      </w:r>
      <w:r>
        <w:t xml:space="preserve"> više klima uređaja na izdvojenim lokacijama Doma zdravlja Dubrovnik.</w:t>
      </w:r>
    </w:p>
    <w:p w:rsidR="00EC220F" w:rsidRDefault="00D04D62">
      <w:r>
        <w:t>Šifra 0225 Instrumenti i uređaji je za 12,6 % veća u 2025. godini zbog nabavke većeg broja vaga.</w:t>
      </w:r>
    </w:p>
    <w:p w:rsidR="00EC220F" w:rsidRDefault="00D04D62">
      <w:r>
        <w:t>Šifra 0227 Uređaji, strojevi i oprema za ostale namjene je u 2025. godini veća za 52 % zbog nabave agregata za glavnu zgradu Doma zdravlja.</w:t>
      </w:r>
    </w:p>
    <w:p w:rsidR="00EC220F" w:rsidRDefault="00D04D62">
      <w:r>
        <w:t> </w:t>
      </w:r>
    </w:p>
    <w:p w:rsidR="00EC220F" w:rsidRDefault="00EC220F"/>
    <w:p w:rsidR="00EC220F" w:rsidRDefault="00D04D62">
      <w:pPr>
        <w:keepNext/>
        <w:spacing w:line="240" w:lineRule="auto"/>
        <w:jc w:val="center"/>
      </w:pPr>
      <w:r>
        <w:rPr>
          <w:sz w:val="28"/>
        </w:rPr>
        <w:t>Bilješka 33.</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1</w:t>
            </w:r>
          </w:p>
        </w:tc>
        <w:tc>
          <w:tcPr>
            <w:tcW w:w="3180" w:type="dxa"/>
            <w:tcMar>
              <w:top w:w="0" w:type="dxa"/>
              <w:bottom w:w="0" w:type="dxa"/>
            </w:tcMar>
            <w:vAlign w:val="center"/>
          </w:tcPr>
          <w:p w:rsidR="00EC220F" w:rsidRDefault="00D04D62">
            <w:pPr>
              <w:keepNext/>
              <w:keepLines/>
              <w:spacing w:after="0" w:line="240" w:lineRule="auto"/>
            </w:pPr>
            <w:r>
              <w:rPr>
                <w:sz w:val="18"/>
              </w:rPr>
              <w:t>Financijska imovina (šifre 11+12+13+14+15+16+17+19)</w:t>
            </w:r>
          </w:p>
        </w:tc>
        <w:tc>
          <w:tcPr>
            <w:tcW w:w="700" w:type="dxa"/>
            <w:tcMar>
              <w:top w:w="0" w:type="dxa"/>
              <w:bottom w:w="0" w:type="dxa"/>
            </w:tcMar>
            <w:vAlign w:val="center"/>
          </w:tcPr>
          <w:p w:rsidR="00EC220F" w:rsidRDefault="00D04D62">
            <w:pPr>
              <w:keepNext/>
              <w:keepLines/>
              <w:spacing w:after="0" w:line="240" w:lineRule="auto"/>
            </w:pPr>
            <w:r>
              <w:rPr>
                <w:sz w:val="18"/>
              </w:rPr>
              <w:t>1</w:t>
            </w:r>
          </w:p>
        </w:tc>
        <w:tc>
          <w:tcPr>
            <w:tcW w:w="1860" w:type="dxa"/>
            <w:tcMar>
              <w:top w:w="0" w:type="dxa"/>
              <w:bottom w:w="0" w:type="dxa"/>
            </w:tcMar>
            <w:vAlign w:val="center"/>
          </w:tcPr>
          <w:p w:rsidR="00EC220F" w:rsidRDefault="00D04D62">
            <w:pPr>
              <w:keepNext/>
              <w:keepLines/>
              <w:spacing w:after="0" w:line="240" w:lineRule="auto"/>
              <w:jc w:val="right"/>
            </w:pPr>
            <w:r>
              <w:rPr>
                <w:sz w:val="18"/>
              </w:rPr>
              <w:t>639.627,83</w:t>
            </w:r>
          </w:p>
        </w:tc>
        <w:tc>
          <w:tcPr>
            <w:tcW w:w="1860" w:type="dxa"/>
            <w:tcMar>
              <w:top w:w="0" w:type="dxa"/>
              <w:bottom w:w="0" w:type="dxa"/>
            </w:tcMar>
            <w:vAlign w:val="center"/>
          </w:tcPr>
          <w:p w:rsidR="00EC220F" w:rsidRDefault="00D04D62">
            <w:pPr>
              <w:keepNext/>
              <w:keepLines/>
              <w:spacing w:after="0" w:line="240" w:lineRule="auto"/>
              <w:jc w:val="right"/>
            </w:pPr>
            <w:r>
              <w:rPr>
                <w:sz w:val="18"/>
              </w:rPr>
              <w:t>498.448,33</w:t>
            </w:r>
          </w:p>
        </w:tc>
        <w:tc>
          <w:tcPr>
            <w:tcW w:w="700" w:type="dxa"/>
            <w:tcMar>
              <w:top w:w="0" w:type="dxa"/>
              <w:bottom w:w="0" w:type="dxa"/>
            </w:tcMar>
            <w:vAlign w:val="center"/>
          </w:tcPr>
          <w:p w:rsidR="00EC220F" w:rsidRDefault="00D04D62">
            <w:pPr>
              <w:keepNext/>
              <w:keepLines/>
              <w:spacing w:after="0" w:line="240" w:lineRule="auto"/>
              <w:jc w:val="right"/>
            </w:pPr>
            <w:r>
              <w:rPr>
                <w:sz w:val="18"/>
              </w:rPr>
              <w:t>77,9</w:t>
            </w:r>
          </w:p>
        </w:tc>
      </w:tr>
    </w:tbl>
    <w:p w:rsidR="00EC220F" w:rsidRDefault="00EC220F">
      <w:pPr>
        <w:spacing w:after="0"/>
      </w:pPr>
    </w:p>
    <w:p w:rsidR="00EC220F" w:rsidRDefault="00D04D62">
      <w:r>
        <w:t>Financijska imovina:</w:t>
      </w:r>
    </w:p>
    <w:p w:rsidR="00EC220F" w:rsidRDefault="00D04D62">
      <w:r>
        <w:t>Šifra 11 - Novac u banci i blagajni veći je iznos sredstava na 31.12.2025. godine za 206,2 %, iako je većina dospjelih obveza plaćena, ostao je veći iznos na računu jer su prihodi veći od rashoda u 2025.g.</w:t>
      </w:r>
    </w:p>
    <w:p w:rsidR="00EC220F" w:rsidRDefault="00D04D62">
      <w:r>
        <w:t>Šifra 163 - Potraživanja za pomoći iz inozemstva i</w:t>
      </w:r>
      <w:r>
        <w:t xml:space="preserve"> od subjekata unutar općeg proračuna odnose se na potraživanja od proračuna koji nije nadležan, te na potraživanja za pomoći temeljem prijenosa EU sredstava za potraživanja od Ministarstva regionalnog razvoja i EU fondova za pomoći po sklopljenim ugovorima</w:t>
      </w:r>
      <w:r>
        <w:t>.</w:t>
      </w:r>
    </w:p>
    <w:p w:rsidR="00EC220F" w:rsidRDefault="00D04D62">
      <w:r>
        <w:t>Šifra 166 – Potraživanja za prihode od prodaje proizvoda i roba te pruženih usluga i za povrat po protestiranim jamstvima su 7,2 % veća u 2025.g., razlog su veća potraživanja za usluge medicine rada, prefakturirane režijske troškove, te troškove zakupa p</w:t>
      </w:r>
      <w:r>
        <w:t>rostora i stanova.</w:t>
      </w:r>
    </w:p>
    <w:p w:rsidR="00EC220F" w:rsidRDefault="00D04D62">
      <w:r>
        <w:t>Šifra 167 - Potraživanja proračunskih korisnika za sredstva uplaćena u nadležni proračun i za prihode od HZZO-a na temelju ugovornih obveza su manja na 31.12.2025. godine 65,6 % jer prema dostavljenim IOS-ima HZZO duži obvezu za glavarin</w:t>
      </w:r>
      <w:r>
        <w:t xml:space="preserve">u u Siječnju 2026.g., iako se ona </w:t>
      </w:r>
      <w:r>
        <w:lastRenderedPageBreak/>
        <w:t>odnosi na 12/2025, te je Dom zdravlja Dubrovnik prilagodio svoja potraživanja otvorenim stavkama HZZO-a, dok je na 31.12.2024. godine knjiženo potraživanje za glavarine.</w:t>
      </w:r>
    </w:p>
    <w:p w:rsidR="00EC220F" w:rsidRDefault="00D04D62">
      <w:r>
        <w:t>Šifra 169 - isti je iznos ispravka vrijednosti potra</w:t>
      </w:r>
      <w:r>
        <w:t>živanja u 2025. godini kao i u 2024. godini jer na 31.12.2025.g. nije bilo potraživanja za koje je bilo potrebno provesti ispravak vrijednosti potraživanja, tj. nije bilo potraživanja koja su dospjela preko dvije godine, a da za njih već ranije nije bio pr</w:t>
      </w:r>
      <w:r>
        <w:t>oveden ispravak.</w:t>
      </w:r>
    </w:p>
    <w:p w:rsidR="00EC220F" w:rsidRDefault="00EC220F"/>
    <w:p w:rsidR="00EC220F" w:rsidRDefault="00D04D62">
      <w:pPr>
        <w:keepNext/>
        <w:spacing w:line="240" w:lineRule="auto"/>
        <w:jc w:val="center"/>
      </w:pPr>
      <w:r>
        <w:rPr>
          <w:sz w:val="28"/>
        </w:rPr>
        <w:t>Bilješka 34.</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2</w:t>
            </w:r>
          </w:p>
        </w:tc>
        <w:tc>
          <w:tcPr>
            <w:tcW w:w="3180" w:type="dxa"/>
            <w:tcMar>
              <w:top w:w="0" w:type="dxa"/>
              <w:bottom w:w="0" w:type="dxa"/>
            </w:tcMar>
            <w:vAlign w:val="center"/>
          </w:tcPr>
          <w:p w:rsidR="00EC220F" w:rsidRDefault="00D04D62">
            <w:pPr>
              <w:keepNext/>
              <w:keepLines/>
              <w:spacing w:after="0" w:line="240" w:lineRule="auto"/>
            </w:pPr>
            <w:r>
              <w:rPr>
                <w:sz w:val="18"/>
              </w:rPr>
              <w:t>Obveze (šifre 23+24+25+26+27+29)</w:t>
            </w:r>
          </w:p>
        </w:tc>
        <w:tc>
          <w:tcPr>
            <w:tcW w:w="700" w:type="dxa"/>
            <w:tcMar>
              <w:top w:w="0" w:type="dxa"/>
              <w:bottom w:w="0" w:type="dxa"/>
            </w:tcMar>
            <w:vAlign w:val="center"/>
          </w:tcPr>
          <w:p w:rsidR="00EC220F" w:rsidRDefault="00D04D62">
            <w:pPr>
              <w:keepNext/>
              <w:keepLines/>
              <w:spacing w:after="0" w:line="240" w:lineRule="auto"/>
            </w:pPr>
            <w:r>
              <w:rPr>
                <w:sz w:val="18"/>
              </w:rPr>
              <w:t>2</w:t>
            </w:r>
          </w:p>
        </w:tc>
        <w:tc>
          <w:tcPr>
            <w:tcW w:w="1860" w:type="dxa"/>
            <w:tcMar>
              <w:top w:w="0" w:type="dxa"/>
              <w:bottom w:w="0" w:type="dxa"/>
            </w:tcMar>
            <w:vAlign w:val="center"/>
          </w:tcPr>
          <w:p w:rsidR="00EC220F" w:rsidRDefault="00D04D62">
            <w:pPr>
              <w:keepNext/>
              <w:keepLines/>
              <w:spacing w:after="0" w:line="240" w:lineRule="auto"/>
              <w:jc w:val="right"/>
            </w:pPr>
            <w:r>
              <w:rPr>
                <w:sz w:val="18"/>
              </w:rPr>
              <w:t>624.726,88</w:t>
            </w:r>
          </w:p>
        </w:tc>
        <w:tc>
          <w:tcPr>
            <w:tcW w:w="1860" w:type="dxa"/>
            <w:tcMar>
              <w:top w:w="0" w:type="dxa"/>
              <w:bottom w:w="0" w:type="dxa"/>
            </w:tcMar>
            <w:vAlign w:val="center"/>
          </w:tcPr>
          <w:p w:rsidR="00EC220F" w:rsidRDefault="00D04D62">
            <w:pPr>
              <w:keepNext/>
              <w:keepLines/>
              <w:spacing w:after="0" w:line="240" w:lineRule="auto"/>
              <w:jc w:val="right"/>
            </w:pPr>
            <w:r>
              <w:rPr>
                <w:sz w:val="18"/>
              </w:rPr>
              <w:t>622.243,79</w:t>
            </w:r>
          </w:p>
        </w:tc>
        <w:tc>
          <w:tcPr>
            <w:tcW w:w="700" w:type="dxa"/>
            <w:tcMar>
              <w:top w:w="0" w:type="dxa"/>
              <w:bottom w:w="0" w:type="dxa"/>
            </w:tcMar>
            <w:vAlign w:val="center"/>
          </w:tcPr>
          <w:p w:rsidR="00EC220F" w:rsidRDefault="00D04D62">
            <w:pPr>
              <w:keepNext/>
              <w:keepLines/>
              <w:spacing w:after="0" w:line="240" w:lineRule="auto"/>
              <w:jc w:val="right"/>
            </w:pPr>
            <w:r>
              <w:rPr>
                <w:sz w:val="18"/>
              </w:rPr>
              <w:t>99,6</w:t>
            </w:r>
          </w:p>
        </w:tc>
      </w:tr>
    </w:tbl>
    <w:p w:rsidR="00EC220F" w:rsidRDefault="00EC220F">
      <w:pPr>
        <w:spacing w:after="0"/>
      </w:pPr>
    </w:p>
    <w:p w:rsidR="00EC220F" w:rsidRDefault="00D04D62">
      <w:r>
        <w:t>Obveze:</w:t>
      </w:r>
    </w:p>
    <w:p w:rsidR="00EC220F" w:rsidRDefault="00D04D62">
      <w:r>
        <w:t>Šifra 231 – Obveze za zaposlene su 31.12.2025. godine veće za 7,1 % od obveza na 31.12.2024. godine zbog nešto većeg broja zaposlenih na zadnji dan 2025. godine, te zbog povećanja plaća u 2025. godini.</w:t>
      </w:r>
    </w:p>
    <w:p w:rsidR="00EC220F" w:rsidRDefault="00D04D62">
      <w:r>
        <w:t>Šifra 232 – Obveze za materijalne rashode su za 33,3 %</w:t>
      </w:r>
      <w:r>
        <w:t xml:space="preserve"> manje u 2025.g., jer su gotovo sve dospjele obveze plaćene na 31.12.2025.godine.</w:t>
      </w:r>
    </w:p>
    <w:p w:rsidR="00EC220F" w:rsidRDefault="00D04D62">
      <w:r>
        <w:t>Šifra 234 - Obveze za financijske rashode su veće 31.12.2025.g. za 41,2 % zbog povećanja iznosa naknade za bankarske usluge.</w:t>
      </w:r>
    </w:p>
    <w:p w:rsidR="00EC220F" w:rsidRDefault="00D04D62">
      <w:r>
        <w:t>Šifra 239 – Ostale tekuće obveze odnose se na PDV za 11 i 12/2025 godine, dogodio se propust te nije na vrijeme plaćen PDV za 11/2025, a iznos obveze za PDV za 12/2025 je veći zbog građevinskih radova u Prosincu za koji je bilo potrebno obračunati prijenos</w:t>
      </w:r>
      <w:r>
        <w:t xml:space="preserve"> porezne obveze. Do dana izrade bilješki, obveze su plaćene.</w:t>
      </w:r>
    </w:p>
    <w:p w:rsidR="00EC220F" w:rsidRDefault="00D04D62">
      <w:r>
        <w:t>Šifra 24 – Obveze za nabavu nefinancijske imovine manje su na 31.12.2025 u odnosu na 2024.g. za 97,6 % jer su gotovo sve obveze podmirene do kraja godine, ostalo je neplaćen jedan račun.</w:t>
      </w:r>
    </w:p>
    <w:p w:rsidR="00EC220F" w:rsidRDefault="00EC220F"/>
    <w:p w:rsidR="00EC220F" w:rsidRDefault="00D04D62">
      <w:pPr>
        <w:keepNext/>
        <w:spacing w:line="240" w:lineRule="auto"/>
        <w:jc w:val="center"/>
      </w:pPr>
      <w:r>
        <w:rPr>
          <w:sz w:val="28"/>
        </w:rPr>
        <w:t>Bilješk</w:t>
      </w:r>
      <w:r>
        <w:rPr>
          <w:sz w:val="28"/>
        </w:rPr>
        <w:t>a 35.</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w:t>
            </w:r>
          </w:p>
        </w:tc>
        <w:tc>
          <w:tcPr>
            <w:tcW w:w="3180" w:type="dxa"/>
            <w:tcMar>
              <w:top w:w="0" w:type="dxa"/>
              <w:bottom w:w="0" w:type="dxa"/>
            </w:tcMar>
            <w:vAlign w:val="center"/>
          </w:tcPr>
          <w:p w:rsidR="00EC220F" w:rsidRDefault="00D04D62">
            <w:pPr>
              <w:keepNext/>
              <w:keepLines/>
              <w:spacing w:after="0" w:line="240" w:lineRule="auto"/>
            </w:pPr>
            <w:r>
              <w:rPr>
                <w:sz w:val="18"/>
              </w:rPr>
              <w:t>Vlastiti izvori (šifre 91 + 922 - 93 + 96 + 97)</w:t>
            </w:r>
          </w:p>
        </w:tc>
        <w:tc>
          <w:tcPr>
            <w:tcW w:w="700" w:type="dxa"/>
            <w:tcMar>
              <w:top w:w="0" w:type="dxa"/>
              <w:bottom w:w="0" w:type="dxa"/>
            </w:tcMar>
            <w:vAlign w:val="center"/>
          </w:tcPr>
          <w:p w:rsidR="00EC220F" w:rsidRDefault="00D04D62">
            <w:pPr>
              <w:keepNext/>
              <w:keepLines/>
              <w:spacing w:after="0" w:line="240" w:lineRule="auto"/>
            </w:pPr>
            <w:r>
              <w:rPr>
                <w:sz w:val="18"/>
              </w:rPr>
              <w:t>9</w:t>
            </w:r>
          </w:p>
        </w:tc>
        <w:tc>
          <w:tcPr>
            <w:tcW w:w="1860" w:type="dxa"/>
            <w:tcMar>
              <w:top w:w="0" w:type="dxa"/>
              <w:bottom w:w="0" w:type="dxa"/>
            </w:tcMar>
            <w:vAlign w:val="center"/>
          </w:tcPr>
          <w:p w:rsidR="00EC220F" w:rsidRDefault="00D04D62">
            <w:pPr>
              <w:keepNext/>
              <w:keepLines/>
              <w:spacing w:after="0" w:line="240" w:lineRule="auto"/>
              <w:jc w:val="right"/>
            </w:pPr>
            <w:r>
              <w:rPr>
                <w:sz w:val="18"/>
              </w:rPr>
              <w:t>4.542.794,43</w:t>
            </w:r>
          </w:p>
        </w:tc>
        <w:tc>
          <w:tcPr>
            <w:tcW w:w="1860" w:type="dxa"/>
            <w:tcMar>
              <w:top w:w="0" w:type="dxa"/>
              <w:bottom w:w="0" w:type="dxa"/>
            </w:tcMar>
            <w:vAlign w:val="center"/>
          </w:tcPr>
          <w:p w:rsidR="00EC220F" w:rsidRDefault="00D04D62">
            <w:pPr>
              <w:keepNext/>
              <w:keepLines/>
              <w:spacing w:after="0" w:line="240" w:lineRule="auto"/>
              <w:jc w:val="right"/>
            </w:pPr>
            <w:r>
              <w:rPr>
                <w:sz w:val="18"/>
              </w:rPr>
              <w:t>4.451.719,66</w:t>
            </w:r>
          </w:p>
        </w:tc>
        <w:tc>
          <w:tcPr>
            <w:tcW w:w="700" w:type="dxa"/>
            <w:tcMar>
              <w:top w:w="0" w:type="dxa"/>
              <w:bottom w:w="0" w:type="dxa"/>
            </w:tcMar>
            <w:vAlign w:val="center"/>
          </w:tcPr>
          <w:p w:rsidR="00EC220F" w:rsidRDefault="00D04D62">
            <w:pPr>
              <w:keepNext/>
              <w:keepLines/>
              <w:spacing w:after="0" w:line="240" w:lineRule="auto"/>
              <w:jc w:val="right"/>
            </w:pPr>
            <w:r>
              <w:rPr>
                <w:sz w:val="18"/>
              </w:rPr>
              <w:t>98,0</w:t>
            </w:r>
          </w:p>
        </w:tc>
      </w:tr>
    </w:tbl>
    <w:p w:rsidR="00EC220F" w:rsidRDefault="00EC220F">
      <w:pPr>
        <w:spacing w:after="0"/>
      </w:pPr>
    </w:p>
    <w:p w:rsidR="00EC220F" w:rsidRDefault="00D04D62">
      <w:r>
        <w:t>Vlastiti izvori:</w:t>
      </w:r>
    </w:p>
    <w:p w:rsidR="00EC220F" w:rsidRDefault="00D04D62">
      <w:r>
        <w:lastRenderedPageBreak/>
        <w:t>U 2025.g. ostvaren je višak prihoda poslovanja od 396.902,99 eura, te manjak prihoda od nefinancijske imovine 221.954,59 eura, nakon čega je provedena obvezna korekcija rezultata za prihode poslovanja kojima je financirana nabava dugotrajne nefinancijske i</w:t>
      </w:r>
      <w:r>
        <w:t>movine, te za prihode od nefinancijske imovine kojima su financirani rashodi poslovanja. Tokom 2025.g. ostvareni su sljedeći prihodi za koje je bilo potrebno provesti korekciju:</w:t>
      </w:r>
    </w:p>
    <w:p w:rsidR="00EC220F" w:rsidRDefault="00D04D62">
      <w:r>
        <w:t>6362 – Kapitalne pomoći proračunskim korisnicima iz proračuna koji im nije nad</w:t>
      </w:r>
      <w:r>
        <w:t>ležan u iznosu 24.415,53 eura, </w:t>
      </w:r>
    </w:p>
    <w:p w:rsidR="00EC220F" w:rsidRDefault="00D04D62">
      <w:r>
        <w:t>6712 – Prihodi iz nadležnog proračuna za financiranje rashoda za nabavu nefinancijske imovine u iznosu 173.304,67 eura, te</w:t>
      </w:r>
    </w:p>
    <w:p w:rsidR="00EC220F" w:rsidRDefault="00D04D62">
      <w:r>
        <w:t>722 - Prihodi od prodaje postrojenja i opreme u iznosu 877,40 eura.</w:t>
      </w:r>
    </w:p>
    <w:p w:rsidR="00EC220F" w:rsidRDefault="00D04D62">
      <w:r>
        <w:t xml:space="preserve">Provedena je korekcija rezultata </w:t>
      </w:r>
      <w:r>
        <w:t>tako da na kraju 2025.g. višak prihoda poslovanja iznosi 200.060,19 eura, te manjak prihoda od nefinancijske imovine 554.982,49 eura, čime je ukupan manjak smanjen na 354.922,30 eura.</w:t>
      </w:r>
    </w:p>
    <w:p w:rsidR="00EC220F" w:rsidRDefault="00EC220F"/>
    <w:p w:rsidR="00EC220F" w:rsidRDefault="00D04D62">
      <w:pPr>
        <w:keepNext/>
        <w:spacing w:line="240" w:lineRule="auto"/>
        <w:jc w:val="center"/>
      </w:pPr>
      <w:r>
        <w:rPr>
          <w:sz w:val="28"/>
        </w:rPr>
        <w:t>Bilješka 36.</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99611</w:t>
            </w:r>
          </w:p>
        </w:tc>
        <w:tc>
          <w:tcPr>
            <w:tcW w:w="3180" w:type="dxa"/>
            <w:tcMar>
              <w:top w:w="0" w:type="dxa"/>
              <w:bottom w:w="0" w:type="dxa"/>
            </w:tcMar>
            <w:vAlign w:val="center"/>
          </w:tcPr>
          <w:p w:rsidR="00EC220F" w:rsidRDefault="00D04D62">
            <w:pPr>
              <w:keepNext/>
              <w:keepLines/>
              <w:spacing w:after="0" w:line="240" w:lineRule="auto"/>
            </w:pPr>
            <w:r>
              <w:rPr>
                <w:sz w:val="18"/>
              </w:rPr>
              <w:t>Tuđa imovina dobivena na korištenje</w:t>
            </w:r>
          </w:p>
        </w:tc>
        <w:tc>
          <w:tcPr>
            <w:tcW w:w="700" w:type="dxa"/>
            <w:tcMar>
              <w:top w:w="0" w:type="dxa"/>
              <w:bottom w:w="0" w:type="dxa"/>
            </w:tcMar>
            <w:vAlign w:val="center"/>
          </w:tcPr>
          <w:p w:rsidR="00EC220F" w:rsidRDefault="00D04D62">
            <w:pPr>
              <w:keepNext/>
              <w:keepLines/>
              <w:spacing w:after="0" w:line="240" w:lineRule="auto"/>
            </w:pPr>
            <w:r>
              <w:rPr>
                <w:sz w:val="18"/>
              </w:rPr>
              <w:t>99611</w:t>
            </w:r>
          </w:p>
        </w:tc>
        <w:tc>
          <w:tcPr>
            <w:tcW w:w="1860" w:type="dxa"/>
            <w:tcMar>
              <w:top w:w="0" w:type="dxa"/>
              <w:bottom w:w="0" w:type="dxa"/>
            </w:tcMar>
            <w:vAlign w:val="center"/>
          </w:tcPr>
          <w:p w:rsidR="00EC220F" w:rsidRDefault="00D04D62">
            <w:pPr>
              <w:keepNext/>
              <w:keepLines/>
              <w:spacing w:after="0" w:line="240" w:lineRule="auto"/>
              <w:jc w:val="right"/>
            </w:pPr>
            <w:r>
              <w:rPr>
                <w:sz w:val="18"/>
              </w:rPr>
              <w:t>248.730,02</w:t>
            </w:r>
          </w:p>
        </w:tc>
        <w:tc>
          <w:tcPr>
            <w:tcW w:w="1860" w:type="dxa"/>
            <w:tcMar>
              <w:top w:w="0" w:type="dxa"/>
              <w:bottom w:w="0" w:type="dxa"/>
            </w:tcMar>
            <w:vAlign w:val="center"/>
          </w:tcPr>
          <w:p w:rsidR="00EC220F" w:rsidRDefault="00D04D62">
            <w:pPr>
              <w:keepNext/>
              <w:keepLines/>
              <w:spacing w:after="0" w:line="240" w:lineRule="auto"/>
              <w:jc w:val="right"/>
            </w:pPr>
            <w:r>
              <w:rPr>
                <w:sz w:val="18"/>
              </w:rPr>
              <w:t>1.734,42</w:t>
            </w:r>
          </w:p>
        </w:tc>
        <w:tc>
          <w:tcPr>
            <w:tcW w:w="700" w:type="dxa"/>
            <w:tcMar>
              <w:top w:w="0" w:type="dxa"/>
              <w:bottom w:w="0" w:type="dxa"/>
            </w:tcMar>
            <w:vAlign w:val="center"/>
          </w:tcPr>
          <w:p w:rsidR="00EC220F" w:rsidRDefault="00D04D62">
            <w:pPr>
              <w:keepNext/>
              <w:keepLines/>
              <w:spacing w:after="0" w:line="240" w:lineRule="auto"/>
              <w:jc w:val="right"/>
            </w:pPr>
            <w:r>
              <w:rPr>
                <w:sz w:val="18"/>
              </w:rPr>
              <w:t>0,7</w:t>
            </w:r>
          </w:p>
        </w:tc>
      </w:tr>
    </w:tbl>
    <w:p w:rsidR="00EC220F" w:rsidRDefault="00EC220F">
      <w:pPr>
        <w:spacing w:after="0"/>
      </w:pPr>
    </w:p>
    <w:p w:rsidR="00EC220F" w:rsidRDefault="00D04D62">
      <w:r>
        <w:t>Tuđa imovina dobivena na korištenje odnosi se na imovinu od Dubrovačko neretvanske županije i od Hrvatskog zavoda za hitnu medicinu. Iznos je smanjen u 2025. godini jer je DNŽ prilikom predaje opreme dostavila ugovor u ukupnom iznosu nabave a nije se sva o</w:t>
      </w:r>
      <w:r>
        <w:t>prema odnosila na Dom zdravlja Dubrovnik, te je ispravljeno knjiženje, također, prema novom Pravilniku o proračunskom računovodstvu potrebno je vanbilančno evidentirati i ispravak vrijednosti tuđe imovine, tako da je nakon provedenih knjiženja iznos preost</w:t>
      </w:r>
      <w:r>
        <w:t>ale vrijednosti 1.734,42 eura.</w:t>
      </w:r>
    </w:p>
    <w:p w:rsidR="00EC220F" w:rsidRDefault="00EC220F"/>
    <w:p w:rsidR="00EC220F" w:rsidRDefault="00D04D62">
      <w:pPr>
        <w:keepNext/>
        <w:spacing w:line="240" w:lineRule="auto"/>
        <w:jc w:val="center"/>
      </w:pPr>
      <w:r>
        <w:rPr>
          <w:sz w:val="28"/>
        </w:rPr>
        <w:t>Bilješka 37.</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99641</w:t>
            </w:r>
          </w:p>
        </w:tc>
        <w:tc>
          <w:tcPr>
            <w:tcW w:w="3180" w:type="dxa"/>
            <w:tcMar>
              <w:top w:w="0" w:type="dxa"/>
              <w:bottom w:w="0" w:type="dxa"/>
            </w:tcMar>
            <w:vAlign w:val="center"/>
          </w:tcPr>
          <w:p w:rsidR="00EC220F" w:rsidRDefault="00D04D62">
            <w:pPr>
              <w:keepNext/>
              <w:keepLines/>
              <w:spacing w:after="0" w:line="240" w:lineRule="auto"/>
            </w:pPr>
            <w:r>
              <w:rPr>
                <w:sz w:val="18"/>
              </w:rPr>
              <w:t>Instrumenti osiguranja plaćanja</w:t>
            </w:r>
          </w:p>
        </w:tc>
        <w:tc>
          <w:tcPr>
            <w:tcW w:w="700" w:type="dxa"/>
            <w:tcMar>
              <w:top w:w="0" w:type="dxa"/>
              <w:bottom w:w="0" w:type="dxa"/>
            </w:tcMar>
            <w:vAlign w:val="center"/>
          </w:tcPr>
          <w:p w:rsidR="00EC220F" w:rsidRDefault="00D04D62">
            <w:pPr>
              <w:keepNext/>
              <w:keepLines/>
              <w:spacing w:after="0" w:line="240" w:lineRule="auto"/>
            </w:pPr>
            <w:r>
              <w:rPr>
                <w:sz w:val="18"/>
              </w:rPr>
              <w:t>99641</w:t>
            </w:r>
          </w:p>
        </w:tc>
        <w:tc>
          <w:tcPr>
            <w:tcW w:w="1860" w:type="dxa"/>
            <w:tcMar>
              <w:top w:w="0" w:type="dxa"/>
              <w:bottom w:w="0" w:type="dxa"/>
            </w:tcMar>
            <w:vAlign w:val="center"/>
          </w:tcPr>
          <w:p w:rsidR="00EC220F" w:rsidRDefault="00D04D62">
            <w:pPr>
              <w:keepNext/>
              <w:keepLines/>
              <w:spacing w:after="0" w:line="240" w:lineRule="auto"/>
              <w:jc w:val="right"/>
            </w:pPr>
            <w:r>
              <w:rPr>
                <w:sz w:val="18"/>
              </w:rPr>
              <w:t>8.000,00</w:t>
            </w:r>
          </w:p>
        </w:tc>
        <w:tc>
          <w:tcPr>
            <w:tcW w:w="1860" w:type="dxa"/>
            <w:tcMar>
              <w:top w:w="0" w:type="dxa"/>
              <w:bottom w:w="0" w:type="dxa"/>
            </w:tcMar>
            <w:vAlign w:val="center"/>
          </w:tcPr>
          <w:p w:rsidR="00EC220F" w:rsidRDefault="00D04D62">
            <w:pPr>
              <w:keepNext/>
              <w:keepLines/>
              <w:spacing w:after="0" w:line="240" w:lineRule="auto"/>
              <w:jc w:val="right"/>
            </w:pPr>
            <w:r>
              <w:rPr>
                <w:sz w:val="18"/>
              </w:rPr>
              <w:t>30.000,00</w:t>
            </w:r>
          </w:p>
        </w:tc>
        <w:tc>
          <w:tcPr>
            <w:tcW w:w="700" w:type="dxa"/>
            <w:tcMar>
              <w:top w:w="0" w:type="dxa"/>
              <w:bottom w:w="0" w:type="dxa"/>
            </w:tcMar>
            <w:vAlign w:val="center"/>
          </w:tcPr>
          <w:p w:rsidR="00EC220F" w:rsidRDefault="00D04D62">
            <w:pPr>
              <w:keepNext/>
              <w:keepLines/>
              <w:spacing w:after="0" w:line="240" w:lineRule="auto"/>
              <w:jc w:val="right"/>
            </w:pPr>
            <w:r>
              <w:rPr>
                <w:sz w:val="18"/>
              </w:rPr>
              <w:t>375,0</w:t>
            </w:r>
          </w:p>
        </w:tc>
      </w:tr>
    </w:tbl>
    <w:p w:rsidR="00EC220F" w:rsidRDefault="00EC220F">
      <w:pPr>
        <w:spacing w:after="0"/>
      </w:pPr>
    </w:p>
    <w:p w:rsidR="00EC220F" w:rsidRDefault="00D04D62">
      <w:r>
        <w:t>Instrumenti osiguranja plaćanja - iznos od 30.000 eura odnosi se na primljene i dane bjanko zadužnice.</w:t>
      </w:r>
    </w:p>
    <w:p w:rsidR="00EC220F" w:rsidRDefault="00EC220F"/>
    <w:p w:rsidR="00EC220F" w:rsidRDefault="00D04D62">
      <w:pPr>
        <w:keepNext/>
        <w:spacing w:line="240" w:lineRule="auto"/>
        <w:jc w:val="center"/>
      </w:pPr>
      <w:r>
        <w:rPr>
          <w:sz w:val="28"/>
        </w:rPr>
        <w:lastRenderedPageBreak/>
        <w:t>Bilješka 38.</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99651</w:t>
            </w:r>
          </w:p>
        </w:tc>
        <w:tc>
          <w:tcPr>
            <w:tcW w:w="3180" w:type="dxa"/>
            <w:tcMar>
              <w:top w:w="0" w:type="dxa"/>
              <w:bottom w:w="0" w:type="dxa"/>
            </w:tcMar>
            <w:vAlign w:val="center"/>
          </w:tcPr>
          <w:p w:rsidR="00EC220F" w:rsidRDefault="00D04D62">
            <w:pPr>
              <w:keepNext/>
              <w:keepLines/>
              <w:spacing w:after="0" w:line="240" w:lineRule="auto"/>
            </w:pPr>
            <w:r>
              <w:rPr>
                <w:sz w:val="18"/>
              </w:rPr>
              <w:t xml:space="preserve">Potencijalne obveze po osnovi sudskih </w:t>
            </w:r>
            <w:r>
              <w:rPr>
                <w:sz w:val="18"/>
              </w:rPr>
              <w:t>sporova u tijeku</w:t>
            </w:r>
          </w:p>
        </w:tc>
        <w:tc>
          <w:tcPr>
            <w:tcW w:w="700" w:type="dxa"/>
            <w:tcMar>
              <w:top w:w="0" w:type="dxa"/>
              <w:bottom w:w="0" w:type="dxa"/>
            </w:tcMar>
            <w:vAlign w:val="center"/>
          </w:tcPr>
          <w:p w:rsidR="00EC220F" w:rsidRDefault="00D04D62">
            <w:pPr>
              <w:keepNext/>
              <w:keepLines/>
              <w:spacing w:after="0" w:line="240" w:lineRule="auto"/>
            </w:pPr>
            <w:r>
              <w:rPr>
                <w:sz w:val="18"/>
              </w:rPr>
              <w:t>99651</w:t>
            </w:r>
          </w:p>
        </w:tc>
        <w:tc>
          <w:tcPr>
            <w:tcW w:w="1860" w:type="dxa"/>
            <w:tcMar>
              <w:top w:w="0" w:type="dxa"/>
              <w:bottom w:w="0" w:type="dxa"/>
            </w:tcMar>
            <w:vAlign w:val="center"/>
          </w:tcPr>
          <w:p w:rsidR="00EC220F" w:rsidRDefault="00D04D62">
            <w:pPr>
              <w:keepNext/>
              <w:keepLines/>
              <w:spacing w:after="0" w:line="240" w:lineRule="auto"/>
              <w:jc w:val="right"/>
            </w:pPr>
            <w:r>
              <w:rPr>
                <w:sz w:val="18"/>
              </w:rPr>
              <w:t>37.759,64</w:t>
            </w:r>
          </w:p>
        </w:tc>
        <w:tc>
          <w:tcPr>
            <w:tcW w:w="1860" w:type="dxa"/>
            <w:tcMar>
              <w:top w:w="0" w:type="dxa"/>
              <w:bottom w:w="0" w:type="dxa"/>
            </w:tcMar>
            <w:vAlign w:val="center"/>
          </w:tcPr>
          <w:p w:rsidR="00EC220F" w:rsidRDefault="00D04D62">
            <w:pPr>
              <w:keepNext/>
              <w:keepLines/>
              <w:spacing w:after="0" w:line="240" w:lineRule="auto"/>
              <w:jc w:val="right"/>
            </w:pPr>
            <w:r>
              <w:rPr>
                <w:sz w:val="18"/>
              </w:rPr>
              <w:t>37.759,64</w:t>
            </w:r>
          </w:p>
        </w:tc>
        <w:tc>
          <w:tcPr>
            <w:tcW w:w="700" w:type="dxa"/>
            <w:tcMar>
              <w:top w:w="0" w:type="dxa"/>
              <w:bottom w:w="0" w:type="dxa"/>
            </w:tcMar>
            <w:vAlign w:val="center"/>
          </w:tcPr>
          <w:p w:rsidR="00EC220F" w:rsidRDefault="00D04D62">
            <w:pPr>
              <w:keepNext/>
              <w:keepLines/>
              <w:spacing w:after="0" w:line="240" w:lineRule="auto"/>
              <w:jc w:val="right"/>
            </w:pPr>
            <w:r>
              <w:rPr>
                <w:sz w:val="18"/>
              </w:rPr>
              <w:t>100</w:t>
            </w:r>
          </w:p>
        </w:tc>
      </w:tr>
    </w:tbl>
    <w:p w:rsidR="00EC220F" w:rsidRDefault="00EC220F">
      <w:pPr>
        <w:spacing w:after="0"/>
      </w:pPr>
    </w:p>
    <w:p w:rsidR="00EC220F" w:rsidRDefault="00D04D62">
      <w:r>
        <w:t>Potencijalne obveze po osnovi sudskih sporova u tijeku odnose se na potraživanja za neispunjenje ugovornih obveza, te na potraživanja za zakup prostora, te prefakturirane troškove temeljem ugovora.</w:t>
      </w:r>
    </w:p>
    <w:p w:rsidR="00EC220F" w:rsidRDefault="00EC220F"/>
    <w:p w:rsidR="00EC220F" w:rsidRDefault="00D04D62">
      <w:pPr>
        <w:keepNext/>
        <w:spacing w:line="240" w:lineRule="auto"/>
        <w:jc w:val="center"/>
      </w:pPr>
      <w:r>
        <w:rPr>
          <w:sz w:val="28"/>
        </w:rPr>
        <w:t>Bilješka 39.</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99671</w:t>
            </w:r>
          </w:p>
        </w:tc>
        <w:tc>
          <w:tcPr>
            <w:tcW w:w="3180" w:type="dxa"/>
            <w:tcMar>
              <w:top w:w="0" w:type="dxa"/>
              <w:bottom w:w="0" w:type="dxa"/>
            </w:tcMar>
            <w:vAlign w:val="center"/>
          </w:tcPr>
          <w:p w:rsidR="00EC220F" w:rsidRDefault="00D04D62">
            <w:pPr>
              <w:keepNext/>
              <w:keepLines/>
              <w:spacing w:after="0" w:line="240" w:lineRule="auto"/>
            </w:pPr>
            <w:r>
              <w:rPr>
                <w:sz w:val="18"/>
              </w:rPr>
              <w:t>Potraživanja po ugovorima o dodijeljenim bespovratnim sredstvima iz EU fondova</w:t>
            </w:r>
          </w:p>
        </w:tc>
        <w:tc>
          <w:tcPr>
            <w:tcW w:w="700" w:type="dxa"/>
            <w:tcMar>
              <w:top w:w="0" w:type="dxa"/>
              <w:bottom w:w="0" w:type="dxa"/>
            </w:tcMar>
            <w:vAlign w:val="center"/>
          </w:tcPr>
          <w:p w:rsidR="00EC220F" w:rsidRDefault="00D04D62">
            <w:pPr>
              <w:keepNext/>
              <w:keepLines/>
              <w:spacing w:after="0" w:line="240" w:lineRule="auto"/>
            </w:pPr>
            <w:r>
              <w:rPr>
                <w:sz w:val="18"/>
              </w:rPr>
              <w:t>99671</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190.363,74</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Potraživanja po ugovorima o dodjeljenim bespovratnim sredstvima iz EU fondova odnose se na preostali iznos ugovora s Ministarstvom zdravstva za sredstva iz fonda Mehanizam za oporavak i otpornost.</w:t>
      </w:r>
    </w:p>
    <w:p w:rsidR="00EC220F" w:rsidRDefault="00EC220F"/>
    <w:p w:rsidR="00EC220F" w:rsidRDefault="00D04D62">
      <w:pPr>
        <w:keepNext/>
        <w:spacing w:line="240" w:lineRule="auto"/>
        <w:jc w:val="center"/>
      </w:pPr>
      <w:r>
        <w:rPr>
          <w:b/>
          <w:sz w:val="28"/>
        </w:rPr>
        <w:t>Izvještaj o rashodima prema funkcijskoj klasifikaciji</w:t>
      </w:r>
    </w:p>
    <w:p w:rsidR="00EC220F" w:rsidRDefault="00D04D62">
      <w:pPr>
        <w:keepNext/>
        <w:spacing w:line="240" w:lineRule="auto"/>
        <w:jc w:val="center"/>
      </w:pPr>
      <w:r>
        <w:rPr>
          <w:sz w:val="28"/>
        </w:rPr>
        <w:t>Bilješka 40.</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07</w:t>
            </w:r>
          </w:p>
        </w:tc>
        <w:tc>
          <w:tcPr>
            <w:tcW w:w="3180" w:type="dxa"/>
            <w:tcMar>
              <w:top w:w="0" w:type="dxa"/>
              <w:bottom w:w="0" w:type="dxa"/>
            </w:tcMar>
            <w:vAlign w:val="center"/>
          </w:tcPr>
          <w:p w:rsidR="00EC220F" w:rsidRDefault="00D04D62">
            <w:pPr>
              <w:keepNext/>
              <w:keepLines/>
              <w:spacing w:after="0" w:line="240" w:lineRule="auto"/>
            </w:pPr>
            <w:r>
              <w:rPr>
                <w:sz w:val="18"/>
              </w:rPr>
              <w:t>Zdravstvo (šifre 071+072+073+074+075+076)</w:t>
            </w:r>
          </w:p>
        </w:tc>
        <w:tc>
          <w:tcPr>
            <w:tcW w:w="700" w:type="dxa"/>
            <w:tcMar>
              <w:top w:w="0" w:type="dxa"/>
              <w:bottom w:w="0" w:type="dxa"/>
            </w:tcMar>
            <w:vAlign w:val="center"/>
          </w:tcPr>
          <w:p w:rsidR="00EC220F" w:rsidRDefault="00D04D62">
            <w:pPr>
              <w:keepNext/>
              <w:keepLines/>
              <w:spacing w:after="0" w:line="240" w:lineRule="auto"/>
            </w:pPr>
            <w:r>
              <w:rPr>
                <w:sz w:val="18"/>
              </w:rPr>
              <w:t>07</w:t>
            </w:r>
          </w:p>
        </w:tc>
        <w:tc>
          <w:tcPr>
            <w:tcW w:w="1860" w:type="dxa"/>
            <w:tcMar>
              <w:top w:w="0" w:type="dxa"/>
              <w:bottom w:w="0" w:type="dxa"/>
            </w:tcMar>
            <w:vAlign w:val="center"/>
          </w:tcPr>
          <w:p w:rsidR="00EC220F" w:rsidRDefault="00D04D62">
            <w:pPr>
              <w:keepNext/>
              <w:keepLines/>
              <w:spacing w:after="0" w:line="240" w:lineRule="auto"/>
              <w:jc w:val="right"/>
            </w:pPr>
            <w:r>
              <w:rPr>
                <w:sz w:val="18"/>
              </w:rPr>
              <w:t>7.108.016,37</w:t>
            </w:r>
          </w:p>
        </w:tc>
        <w:tc>
          <w:tcPr>
            <w:tcW w:w="1860" w:type="dxa"/>
            <w:tcMar>
              <w:top w:w="0" w:type="dxa"/>
              <w:bottom w:w="0" w:type="dxa"/>
            </w:tcMar>
            <w:vAlign w:val="center"/>
          </w:tcPr>
          <w:p w:rsidR="00EC220F" w:rsidRDefault="00D04D62">
            <w:pPr>
              <w:keepNext/>
              <w:keepLines/>
              <w:spacing w:after="0" w:line="240" w:lineRule="auto"/>
              <w:jc w:val="right"/>
            </w:pPr>
            <w:r>
              <w:rPr>
                <w:sz w:val="18"/>
              </w:rPr>
              <w:t>7.104.954,76</w:t>
            </w:r>
          </w:p>
        </w:tc>
        <w:tc>
          <w:tcPr>
            <w:tcW w:w="700" w:type="dxa"/>
            <w:tcMar>
              <w:top w:w="0" w:type="dxa"/>
              <w:bottom w:w="0" w:type="dxa"/>
            </w:tcMar>
            <w:vAlign w:val="center"/>
          </w:tcPr>
          <w:p w:rsidR="00EC220F" w:rsidRDefault="00D04D62">
            <w:pPr>
              <w:keepNext/>
              <w:keepLines/>
              <w:spacing w:after="0" w:line="240" w:lineRule="auto"/>
              <w:jc w:val="right"/>
            </w:pPr>
            <w:r>
              <w:rPr>
                <w:sz w:val="18"/>
              </w:rPr>
              <w:t>100,0</w:t>
            </w:r>
          </w:p>
        </w:tc>
      </w:tr>
    </w:tbl>
    <w:p w:rsidR="00EC220F" w:rsidRDefault="00EC220F">
      <w:pPr>
        <w:spacing w:after="0"/>
      </w:pPr>
    </w:p>
    <w:p w:rsidR="00EC220F" w:rsidRDefault="00D04D62">
      <w:r>
        <w:t>3.RAS - funkcijski  prikazuje ukupne troškove poslovne godine (klasa 3 i 4, ne uključuje klasu 5) u jednom iznosu na funkciji -07 zdravstvo.</w:t>
      </w:r>
    </w:p>
    <w:p w:rsidR="00EC220F" w:rsidRDefault="00D04D62">
      <w:r>
        <w:t>Šifra 0721 – Opće medicinske usluge u 2025.g. iznosi 7.104.954,76 eura, što uspoređujući s 2024. godinom daje gotov</w:t>
      </w:r>
      <w:r>
        <w:t>o identične rashode.</w:t>
      </w:r>
    </w:p>
    <w:p w:rsidR="00EC220F" w:rsidRDefault="00EC220F"/>
    <w:p w:rsidR="00EC220F" w:rsidRDefault="00D04D62">
      <w:pPr>
        <w:keepNext/>
        <w:spacing w:line="240" w:lineRule="auto"/>
        <w:jc w:val="center"/>
      </w:pPr>
      <w:r>
        <w:rPr>
          <w:b/>
          <w:sz w:val="28"/>
        </w:rPr>
        <w:lastRenderedPageBreak/>
        <w:t>Promjene u vrijednosti i obujmu imovine i obveza</w:t>
      </w:r>
    </w:p>
    <w:p w:rsidR="00EC220F" w:rsidRDefault="00D04D62">
      <w:pPr>
        <w:keepNext/>
        <w:spacing w:line="240" w:lineRule="auto"/>
        <w:jc w:val="center"/>
      </w:pPr>
      <w:r>
        <w:rPr>
          <w:sz w:val="28"/>
        </w:rPr>
        <w:t>Bilješka 41.</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D04D62">
            <w:pPr>
              <w:keepNext/>
              <w:keepLines/>
              <w:spacing w:after="0" w:line="240" w:lineRule="auto"/>
            </w:pPr>
            <w:r>
              <w:rPr>
                <w:sz w:val="18"/>
              </w:rPr>
              <w:t>9151</w:t>
            </w:r>
          </w:p>
        </w:tc>
        <w:tc>
          <w:tcPr>
            <w:tcW w:w="3180" w:type="dxa"/>
            <w:tcMar>
              <w:top w:w="0" w:type="dxa"/>
              <w:bottom w:w="0" w:type="dxa"/>
            </w:tcMar>
            <w:vAlign w:val="center"/>
          </w:tcPr>
          <w:p w:rsidR="00EC220F" w:rsidRDefault="00D04D62">
            <w:pPr>
              <w:keepNext/>
              <w:keepLines/>
              <w:spacing w:after="0" w:line="240" w:lineRule="auto"/>
            </w:pPr>
            <w:r>
              <w:rPr>
                <w:sz w:val="18"/>
              </w:rPr>
              <w:t>Promjene u vrijednosti i obujmu imovine (šifre 91511+91512)</w:t>
            </w:r>
          </w:p>
        </w:tc>
        <w:tc>
          <w:tcPr>
            <w:tcW w:w="700" w:type="dxa"/>
            <w:tcMar>
              <w:top w:w="0" w:type="dxa"/>
              <w:bottom w:w="0" w:type="dxa"/>
            </w:tcMar>
            <w:vAlign w:val="center"/>
          </w:tcPr>
          <w:p w:rsidR="00EC220F" w:rsidRDefault="00D04D62">
            <w:pPr>
              <w:keepNext/>
              <w:keepLines/>
              <w:spacing w:after="0" w:line="240" w:lineRule="auto"/>
            </w:pPr>
            <w:r>
              <w:rPr>
                <w:sz w:val="18"/>
              </w:rPr>
              <w:t>9151</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175.188,21</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U obrascu su prikazane promjene u obujmu i vrijednosti imovine i obveza u iznosu 175.188,21  eura na šifri P003. </w:t>
      </w:r>
    </w:p>
    <w:p w:rsidR="00EC220F" w:rsidRDefault="00EC220F"/>
    <w:p w:rsidR="00EC220F" w:rsidRDefault="00D04D62">
      <w:pPr>
        <w:keepNext/>
        <w:spacing w:line="240" w:lineRule="auto"/>
        <w:jc w:val="center"/>
      </w:pPr>
      <w:r>
        <w:rPr>
          <w:sz w:val="28"/>
        </w:rPr>
        <w:t>Bilješka 42.</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700"/>
        <w:gridCol w:w="3180"/>
        <w:gridCol w:w="700"/>
        <w:gridCol w:w="1860"/>
        <w:gridCol w:w="1860"/>
        <w:gridCol w:w="700"/>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 povećanja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 smanjenja</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sz w:val="18"/>
              </w:rPr>
              <w:t>Proizvedena dugotrajna imovina</w:t>
            </w:r>
          </w:p>
        </w:tc>
        <w:tc>
          <w:tcPr>
            <w:tcW w:w="700" w:type="dxa"/>
            <w:tcMar>
              <w:top w:w="0" w:type="dxa"/>
              <w:bottom w:w="0" w:type="dxa"/>
            </w:tcMar>
            <w:vAlign w:val="center"/>
          </w:tcPr>
          <w:p w:rsidR="00EC220F" w:rsidRDefault="00D04D62">
            <w:pPr>
              <w:keepNext/>
              <w:keepLines/>
              <w:spacing w:after="0" w:line="240" w:lineRule="auto"/>
            </w:pPr>
            <w:r>
              <w:rPr>
                <w:sz w:val="18"/>
              </w:rPr>
              <w:t>P003</w:t>
            </w:r>
          </w:p>
        </w:tc>
        <w:tc>
          <w:tcPr>
            <w:tcW w:w="1860" w:type="dxa"/>
            <w:tcMar>
              <w:top w:w="0" w:type="dxa"/>
              <w:bottom w:w="0" w:type="dxa"/>
            </w:tcMar>
            <w:vAlign w:val="center"/>
          </w:tcPr>
          <w:p w:rsidR="00EC220F" w:rsidRDefault="00D04D62">
            <w:pPr>
              <w:keepNext/>
              <w:keepLines/>
              <w:spacing w:after="0" w:line="240" w:lineRule="auto"/>
              <w:jc w:val="right"/>
            </w:pPr>
            <w:r>
              <w:rPr>
                <w:sz w:val="18"/>
              </w:rPr>
              <w:t>0,00</w:t>
            </w:r>
          </w:p>
        </w:tc>
        <w:tc>
          <w:tcPr>
            <w:tcW w:w="1860" w:type="dxa"/>
            <w:tcMar>
              <w:top w:w="0" w:type="dxa"/>
              <w:bottom w:w="0" w:type="dxa"/>
            </w:tcMar>
            <w:vAlign w:val="center"/>
          </w:tcPr>
          <w:p w:rsidR="00EC220F" w:rsidRDefault="00D04D62">
            <w:pPr>
              <w:keepNext/>
              <w:keepLines/>
              <w:spacing w:after="0" w:line="240" w:lineRule="auto"/>
              <w:jc w:val="right"/>
            </w:pPr>
            <w:r>
              <w:rPr>
                <w:sz w:val="18"/>
              </w:rPr>
              <w:t>175.188,21</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Šifra P003 prikazuje iznos smanjenja proizvedene dugotrajne imovine od 175.188,21 euro, od čega se 3,98 eura odnosi na iznos sadašnje (preostale) vrijednosti kod rashoda dugotrajne nefinacijske imovine, te 175.184,23 eura na ispravak vrijedn</w:t>
      </w:r>
      <w:r>
        <w:t>osti dugotrajne nefinancijske imovine za 2025. godinu.</w:t>
      </w:r>
    </w:p>
    <w:p w:rsidR="00EC220F" w:rsidRDefault="00EC220F"/>
    <w:p w:rsidR="00EC220F" w:rsidRDefault="00D04D62">
      <w:pPr>
        <w:keepNext/>
        <w:spacing w:line="240" w:lineRule="auto"/>
        <w:jc w:val="center"/>
      </w:pPr>
      <w:r>
        <w:rPr>
          <w:b/>
          <w:sz w:val="28"/>
        </w:rPr>
        <w:t>Izvještaj o obvezama</w:t>
      </w:r>
    </w:p>
    <w:p w:rsidR="00EC220F" w:rsidRDefault="00D04D62">
      <w:pPr>
        <w:keepNext/>
        <w:spacing w:line="240" w:lineRule="auto"/>
        <w:jc w:val="center"/>
      </w:pPr>
      <w:r>
        <w:rPr>
          <w:sz w:val="28"/>
        </w:rPr>
        <w:t>Bilješka 43.</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883"/>
        <w:gridCol w:w="4008"/>
        <w:gridCol w:w="882"/>
        <w:gridCol w:w="2345"/>
        <w:gridCol w:w="882"/>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rsidR="00EC220F" w:rsidRDefault="00D04D62">
            <w:pPr>
              <w:keepNext/>
              <w:keepLines/>
              <w:spacing w:after="0" w:line="240" w:lineRule="auto"/>
            </w:pPr>
            <w:r>
              <w:rPr>
                <w:sz w:val="18"/>
              </w:rPr>
              <w:t>V001</w:t>
            </w:r>
          </w:p>
        </w:tc>
        <w:tc>
          <w:tcPr>
            <w:tcW w:w="1860" w:type="dxa"/>
            <w:tcMar>
              <w:top w:w="0" w:type="dxa"/>
              <w:bottom w:w="0" w:type="dxa"/>
            </w:tcMar>
            <w:vAlign w:val="center"/>
          </w:tcPr>
          <w:p w:rsidR="00EC220F" w:rsidRDefault="00D04D62">
            <w:pPr>
              <w:keepNext/>
              <w:keepLines/>
              <w:spacing w:after="0" w:line="240" w:lineRule="auto"/>
              <w:jc w:val="right"/>
            </w:pPr>
            <w:r>
              <w:rPr>
                <w:sz w:val="18"/>
              </w:rPr>
              <w:t>624.726,88</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Ukupne obveze na 31.12.2025. godine iznose 624.726,88  eura od čega se 10.525,22 eura odnosi na dospjele obveze, te 611.718,57 eura na nedospjele.</w:t>
      </w:r>
    </w:p>
    <w:p w:rsidR="00EC220F" w:rsidRDefault="00EC220F"/>
    <w:p w:rsidR="00EC220F" w:rsidRDefault="00D04D62">
      <w:pPr>
        <w:keepNext/>
        <w:spacing w:line="240" w:lineRule="auto"/>
        <w:jc w:val="center"/>
      </w:pPr>
      <w:r>
        <w:rPr>
          <w:sz w:val="28"/>
        </w:rPr>
        <w:t>Bilješka 44.</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883"/>
        <w:gridCol w:w="4008"/>
        <w:gridCol w:w="882"/>
        <w:gridCol w:w="2345"/>
        <w:gridCol w:w="882"/>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sz w:val="18"/>
              </w:rPr>
              <w:t>Stanje dospjelih obveza</w:t>
            </w:r>
            <w:r>
              <w:rPr>
                <w:sz w:val="18"/>
              </w:rPr>
              <w:t xml:space="preserve"> na kraju izvještajnog razdoblja (šifre V008+D23+D24 + 'D dio 25,26' + D27)</w:t>
            </w:r>
          </w:p>
        </w:tc>
        <w:tc>
          <w:tcPr>
            <w:tcW w:w="700" w:type="dxa"/>
            <w:tcMar>
              <w:top w:w="0" w:type="dxa"/>
              <w:bottom w:w="0" w:type="dxa"/>
            </w:tcMar>
            <w:vAlign w:val="center"/>
          </w:tcPr>
          <w:p w:rsidR="00EC220F" w:rsidRDefault="00D04D62">
            <w:pPr>
              <w:keepNext/>
              <w:keepLines/>
              <w:spacing w:after="0" w:line="240" w:lineRule="auto"/>
            </w:pPr>
            <w:r>
              <w:rPr>
                <w:sz w:val="18"/>
              </w:rPr>
              <w:t>V007</w:t>
            </w:r>
          </w:p>
        </w:tc>
        <w:tc>
          <w:tcPr>
            <w:tcW w:w="1860" w:type="dxa"/>
            <w:tcMar>
              <w:top w:w="0" w:type="dxa"/>
              <w:bottom w:w="0" w:type="dxa"/>
            </w:tcMar>
            <w:vAlign w:val="center"/>
          </w:tcPr>
          <w:p w:rsidR="00EC220F" w:rsidRDefault="00D04D62">
            <w:pPr>
              <w:keepNext/>
              <w:keepLines/>
              <w:spacing w:after="0" w:line="240" w:lineRule="auto"/>
              <w:jc w:val="right"/>
            </w:pPr>
            <w:r>
              <w:rPr>
                <w:sz w:val="18"/>
              </w:rPr>
              <w:t>10.525,22</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lastRenderedPageBreak/>
        <w:t>Dospjele obveze na dan 31.12.2025. godine iznose 10.525,22 eura, razvrstane su po danima prekoračenja kako slijedi:  - do 60 dana dospjelo 2.866,62 eura, - do 18</w:t>
      </w:r>
      <w:r>
        <w:t>0 dana 0,00 eura, - do 360 dana 0,00 eura, te - preko 360 dana 7.658,60 eura. Dospjele obveze do 60 dana odnose se na: obveze za materijalne rashode uglavnom radi kratkog roka dospijeća, te radi toga što dobavljači pošalju račune kojima je dospijeće protek</w:t>
      </w:r>
      <w:r>
        <w:t>lo ili nije navedeno na računu, na obveze za nabavu nefinancijsku imovinu u iznosu 38,41 euro, a odnosi se na djelomično plaćen račun jer se čekalo odobrenje kojim je umanjena obveza, pa je knjiženje provedeno za 2025. godinu, u 2026. godini, kada je već b</w:t>
      </w:r>
      <w:r>
        <w:t>ilo kasno da bismo platili preostali iznos računa. Dospjele obveze preko 360 dana odnose se na međusobne obveze subjekata općeg proračuna za prefakturirane troškove energije čiji iznos se iz mjeseca u mjesec smanjuje kompenzacijom, te će se tako cijela obv</w:t>
      </w:r>
      <w:r>
        <w:t>eza zavoriti, te na sporne obveze s drugom zdravstvenom ustanovom.</w:t>
      </w:r>
    </w:p>
    <w:p w:rsidR="00EC220F" w:rsidRDefault="00EC220F"/>
    <w:p w:rsidR="00EC220F" w:rsidRDefault="00D04D62">
      <w:pPr>
        <w:keepNext/>
        <w:spacing w:line="240" w:lineRule="auto"/>
        <w:jc w:val="center"/>
      </w:pPr>
      <w:r>
        <w:rPr>
          <w:sz w:val="28"/>
        </w:rPr>
        <w:t>Bilješka 45.</w:t>
      </w:r>
    </w:p>
    <w:tbl>
      <w:tblPr>
        <w:tblW w:w="900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tblPr>
      <w:tblGrid>
        <w:gridCol w:w="883"/>
        <w:gridCol w:w="4008"/>
        <w:gridCol w:w="882"/>
        <w:gridCol w:w="2345"/>
        <w:gridCol w:w="882"/>
      </w:tblGrid>
      <w:tr w:rsidR="00EC220F">
        <w:tblPrEx>
          <w:tblCellMar>
            <w:top w:w="0" w:type="dxa"/>
            <w:bottom w:w="0" w:type="dxa"/>
          </w:tblCellMar>
        </w:tblPrEx>
        <w:trPr>
          <w:cantSplit/>
        </w:trPr>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EC220F" w:rsidRDefault="00D04D62">
            <w:pPr>
              <w:keepNext/>
              <w:keepLines/>
              <w:spacing w:after="0" w:line="240" w:lineRule="auto"/>
              <w:jc w:val="center"/>
            </w:pPr>
            <w:r>
              <w:rPr>
                <w:b/>
                <w:sz w:val="18"/>
              </w:rPr>
              <w:t>Indeks (%)</w:t>
            </w:r>
          </w:p>
        </w:tc>
      </w:tr>
      <w:tr w:rsidR="00EC220F">
        <w:tblPrEx>
          <w:tblCellMar>
            <w:top w:w="0" w:type="dxa"/>
            <w:bottom w:w="0" w:type="dxa"/>
          </w:tblCellMar>
        </w:tblPrEx>
        <w:trPr>
          <w:cantSplit/>
          <w:trHeight w:val="560"/>
        </w:trPr>
        <w:tc>
          <w:tcPr>
            <w:tcW w:w="700" w:type="dxa"/>
            <w:tcMar>
              <w:top w:w="0" w:type="dxa"/>
              <w:bottom w:w="0" w:type="dxa"/>
            </w:tcMar>
            <w:vAlign w:val="center"/>
          </w:tcPr>
          <w:p w:rsidR="00EC220F" w:rsidRDefault="00EC220F">
            <w:pPr>
              <w:keepNext/>
              <w:keepLines/>
              <w:spacing w:after="0" w:line="240" w:lineRule="auto"/>
            </w:pPr>
          </w:p>
        </w:tc>
        <w:tc>
          <w:tcPr>
            <w:tcW w:w="3180" w:type="dxa"/>
            <w:tcMar>
              <w:top w:w="0" w:type="dxa"/>
              <w:bottom w:w="0" w:type="dxa"/>
            </w:tcMar>
            <w:vAlign w:val="center"/>
          </w:tcPr>
          <w:p w:rsidR="00EC220F" w:rsidRDefault="00D04D62">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rsidR="00EC220F" w:rsidRDefault="00D04D62">
            <w:pPr>
              <w:keepNext/>
              <w:keepLines/>
              <w:spacing w:after="0" w:line="240" w:lineRule="auto"/>
            </w:pPr>
            <w:r>
              <w:rPr>
                <w:sz w:val="18"/>
              </w:rPr>
              <w:t>V009</w:t>
            </w:r>
          </w:p>
        </w:tc>
        <w:tc>
          <w:tcPr>
            <w:tcW w:w="1860" w:type="dxa"/>
            <w:tcMar>
              <w:top w:w="0" w:type="dxa"/>
              <w:bottom w:w="0" w:type="dxa"/>
            </w:tcMar>
            <w:vAlign w:val="center"/>
          </w:tcPr>
          <w:p w:rsidR="00EC220F" w:rsidRDefault="00D04D62">
            <w:pPr>
              <w:keepNext/>
              <w:keepLines/>
              <w:spacing w:after="0" w:line="240" w:lineRule="auto"/>
              <w:jc w:val="right"/>
            </w:pPr>
            <w:r>
              <w:rPr>
                <w:sz w:val="18"/>
              </w:rPr>
              <w:t>611.718,57</w:t>
            </w:r>
          </w:p>
        </w:tc>
        <w:tc>
          <w:tcPr>
            <w:tcW w:w="700" w:type="dxa"/>
            <w:tcMar>
              <w:top w:w="0" w:type="dxa"/>
              <w:bottom w:w="0" w:type="dxa"/>
            </w:tcMar>
            <w:vAlign w:val="center"/>
          </w:tcPr>
          <w:p w:rsidR="00EC220F" w:rsidRDefault="00D04D62">
            <w:pPr>
              <w:keepNext/>
              <w:keepLines/>
              <w:spacing w:after="0" w:line="240" w:lineRule="auto"/>
              <w:jc w:val="right"/>
            </w:pPr>
            <w:r>
              <w:rPr>
                <w:sz w:val="18"/>
              </w:rPr>
              <w:t>-</w:t>
            </w:r>
          </w:p>
        </w:tc>
      </w:tr>
    </w:tbl>
    <w:p w:rsidR="00EC220F" w:rsidRDefault="00EC220F">
      <w:pPr>
        <w:spacing w:after="0"/>
      </w:pPr>
    </w:p>
    <w:p w:rsidR="00EC220F" w:rsidRDefault="00D04D62">
      <w:r>
        <w:t>Nedospjele obveze na dan 31.12.2025. sadrže obveze za zaposlene za mjesec Prosinac 2025.g., obveze za materijalne rashode, obveze na nefinancijsku imovinu, PDV i ostalo.</w:t>
      </w:r>
    </w:p>
    <w:p w:rsidR="00EC220F" w:rsidRDefault="00EC220F"/>
    <w:p w:rsidR="00EC220F" w:rsidRDefault="00D04D62">
      <w:pPr>
        <w:keepNext/>
        <w:spacing w:line="240" w:lineRule="auto"/>
        <w:jc w:val="center"/>
      </w:pPr>
      <w:r>
        <w:rPr>
          <w:sz w:val="28"/>
        </w:rPr>
        <w:t>Bilješka 46.</w:t>
      </w:r>
    </w:p>
    <w:p w:rsidR="00EC220F" w:rsidRDefault="00D04D62">
      <w:pPr>
        <w:spacing w:line="240" w:lineRule="auto"/>
        <w:jc w:val="both"/>
      </w:pPr>
      <w:r>
        <w:rPr>
          <w:b/>
        </w:rPr>
        <w:t>EU izvještaj</w:t>
      </w:r>
    </w:p>
    <w:p w:rsidR="00EC220F" w:rsidRDefault="00D04D62">
      <w:r>
        <w:t>Ukupan prihod od EU fondova u 2025. godini iznosi 76.304,99 eura, istovremeno je ostvaren ukupni iznos rashoda od 77.873,27 eura.</w:t>
      </w:r>
    </w:p>
    <w:p w:rsidR="00EC220F" w:rsidRDefault="00D04D62">
      <w:r>
        <w:t>Dom zdravlja Dubrovnik ima dva izvora financiranja iz EU fondova:</w:t>
      </w:r>
    </w:p>
    <w:p w:rsidR="00EC220F" w:rsidRDefault="00D04D62">
      <w:r>
        <w:t>563 - Fond za regionalni razvoj i</w:t>
      </w:r>
    </w:p>
    <w:p w:rsidR="00EC220F" w:rsidRDefault="00D04D62">
      <w:r>
        <w:t>581 - Mehanizam za oporava</w:t>
      </w:r>
      <w:r>
        <w:t>k i otpornost.</w:t>
      </w:r>
    </w:p>
    <w:p w:rsidR="00EC220F" w:rsidRDefault="00D04D62">
      <w:r>
        <w:t>Iz Fonda za regionalni razvoj ostvareni su prihodi od 13.031,72 eura od čega se 9.745 eura odnosi na pokriće rashoda iz prethodne godine, te 3.286,72 eura po pokriće rashoda iz 2025. godine. U 2025. godini ostvareni su rashodi od 14.600 eura</w:t>
      </w:r>
      <w:r>
        <w:t xml:space="preserve"> za nabavu ultrazvuk uređaja, za pokriće rashoda u 2025. godini plaćeno je 3.286,72 eura, te je na 31.12.2025. godine evidentirano potraživanje u iznosu 11.313,28 eura.</w:t>
      </w:r>
    </w:p>
    <w:p w:rsidR="00EC220F" w:rsidRDefault="00D04D62">
      <w:r>
        <w:t>Iz fonda Mehanizam za oporavak i otpornost ostvareni su prihodi u iznosu 63.273,27 eura</w:t>
      </w:r>
      <w:r>
        <w:t>, te su u potpunosti utrošeni na rashode za plaće, doprinose na plaće, te naknade troškova zaposlenima sukladno ugovoru.</w:t>
      </w:r>
    </w:p>
    <w:p w:rsidR="00EC220F" w:rsidRDefault="00EC220F"/>
    <w:sectPr w:rsidR="00EC22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220F"/>
    <w:rsid w:val="00D04D62"/>
    <w:rsid w:val="00EC220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22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5264</Words>
  <Characters>30005</Characters>
  <Application>Microsoft Office Word</Application>
  <DocSecurity>0</DocSecurity>
  <Lines>250</Lines>
  <Paragraphs>70</Paragraphs>
  <ScaleCrop>false</ScaleCrop>
  <Company/>
  <LinksUpToDate>false</LinksUpToDate>
  <CharactersWithSpaces>35199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2026-02-02T08:31:00Z</dcterms:created>
  <dcterms:modified xsi:type="dcterms:W3CDTF">2026-02-02T08:31:00Z</dcterms:modified>
</cp:coreProperties>
</file>